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40" w:rsidRDefault="002C0B40" w:rsidP="002C0B40">
      <w:pPr>
        <w:spacing w:line="276" w:lineRule="auto"/>
        <w:ind w:right="141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C0B40" w:rsidRDefault="002C0B40" w:rsidP="002C0B40">
      <w:pPr>
        <w:spacing w:line="276" w:lineRule="auto"/>
        <w:ind w:right="141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2C0B40" w:rsidRDefault="002C0B40" w:rsidP="002C0B40">
      <w:pPr>
        <w:spacing w:line="276" w:lineRule="auto"/>
        <w:ind w:right="141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Куркинский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2C0B40" w:rsidRDefault="002C0B40" w:rsidP="002C0B40">
      <w:pPr>
        <w:spacing w:line="276" w:lineRule="auto"/>
        <w:ind w:right="141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________________Г.М. Калина</w:t>
      </w:r>
    </w:p>
    <w:p w:rsidR="002C0B40" w:rsidRDefault="002C0B40" w:rsidP="007E13F9">
      <w:pPr>
        <w:spacing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5C2D" w:rsidRDefault="005C7F6F" w:rsidP="007E13F9">
      <w:pPr>
        <w:spacing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6C5C2D" w:rsidRDefault="005C7F6F" w:rsidP="005C7F6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>о результатах</w:t>
      </w:r>
      <w:r w:rsidR="006C5C2D" w:rsidRPr="006C5C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/>
          <w:sz w:val="26"/>
          <w:szCs w:val="26"/>
        </w:rPr>
        <w:t>оценки налоговых расходов</w:t>
      </w:r>
    </w:p>
    <w:p w:rsidR="005C7F6F" w:rsidRDefault="005C7F6F" w:rsidP="005C7F6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29E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  <w:r w:rsidR="002C0B40">
        <w:rPr>
          <w:rFonts w:ascii="Times New Roman" w:hAnsi="Times New Roman" w:cs="Times New Roman"/>
          <w:b/>
          <w:sz w:val="26"/>
          <w:szCs w:val="26"/>
        </w:rPr>
        <w:t xml:space="preserve"> Кюринский </w:t>
      </w:r>
      <w:proofErr w:type="gramStart"/>
      <w:r w:rsidR="002C0B40">
        <w:rPr>
          <w:rFonts w:ascii="Times New Roman" w:hAnsi="Times New Roman" w:cs="Times New Roman"/>
          <w:b/>
          <w:sz w:val="26"/>
          <w:szCs w:val="26"/>
        </w:rPr>
        <w:t xml:space="preserve">район </w:t>
      </w:r>
      <w:r w:rsidR="005202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029E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52029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505E6">
        <w:rPr>
          <w:rFonts w:ascii="Times New Roman" w:hAnsi="Times New Roman" w:cs="Times New Roman"/>
          <w:b/>
          <w:sz w:val="26"/>
          <w:szCs w:val="26"/>
        </w:rPr>
        <w:t>20</w:t>
      </w:r>
      <w:r w:rsidRPr="0052029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C0B40" w:rsidRDefault="002C0B40" w:rsidP="002C0B40">
      <w:pPr>
        <w:spacing w:line="276" w:lineRule="auto"/>
        <w:ind w:right="141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08.09.2021</w:t>
      </w:r>
    </w:p>
    <w:p w:rsidR="005C7F6F" w:rsidRPr="0052029E" w:rsidRDefault="005C7F6F" w:rsidP="007E13F9">
      <w:pPr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B6545" w:rsidRPr="006B6545" w:rsidRDefault="006B6545" w:rsidP="002C0B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54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C260A" w:rsidRPr="002C0B40" w:rsidRDefault="005C7F6F" w:rsidP="007E1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Оценка налоговых расходов</w:t>
      </w:r>
      <w:r w:rsidR="009C260A" w:rsidRPr="002C0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60A" w:rsidRPr="002C0B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F705F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F705F" w:rsidRPr="002C0B40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C0B40">
        <w:rPr>
          <w:rFonts w:ascii="Times New Roman" w:hAnsi="Times New Roman" w:cs="Times New Roman"/>
          <w:sz w:val="28"/>
          <w:szCs w:val="28"/>
        </w:rPr>
        <w:t>за 20</w:t>
      </w:r>
      <w:r w:rsidR="00EE5047" w:rsidRPr="002C0B40">
        <w:rPr>
          <w:rFonts w:ascii="Times New Roman" w:hAnsi="Times New Roman" w:cs="Times New Roman"/>
          <w:sz w:val="28"/>
          <w:szCs w:val="28"/>
        </w:rPr>
        <w:t>20</w:t>
      </w:r>
      <w:r w:rsidRPr="002C0B4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4F705F" w:rsidRPr="002C0B40">
        <w:rPr>
          <w:rFonts w:ascii="Times New Roman" w:hAnsi="Times New Roman" w:cs="Times New Roman"/>
          <w:sz w:val="28"/>
          <w:szCs w:val="28"/>
        </w:rPr>
        <w:t xml:space="preserve">Федеральным законом от 28 июня 2014 года </w:t>
      </w:r>
      <w:r w:rsidR="004F705F" w:rsidRPr="002C0B40">
        <w:rPr>
          <w:rFonts w:ascii="Times New Roman" w:hAnsi="Times New Roman" w:cs="Times New Roman"/>
          <w:sz w:val="28"/>
          <w:szCs w:val="28"/>
        </w:rPr>
        <w:br/>
        <w:t>№ 172-ФЗ «О стратегическом планировании в Российской Федерации»,</w:t>
      </w:r>
      <w:r w:rsidR="004F705F" w:rsidRPr="002C0B4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N 131-ФЗ "Об общих принципах организации местного самоуправления в Российской Федерации",</w:t>
      </w:r>
      <w:r w:rsidR="004F705F" w:rsidRPr="002C0B40">
        <w:rPr>
          <w:rStyle w:val="msoheader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40" w:rsidRPr="002C0B40">
        <w:rPr>
          <w:rStyle w:val="msoheader0"/>
          <w:rFonts w:ascii="Times New Roman" w:hAnsi="Times New Roman" w:cs="Times New Roman"/>
          <w:sz w:val="28"/>
          <w:szCs w:val="28"/>
        </w:rPr>
        <w:t>постановленем</w:t>
      </w:r>
      <w:proofErr w:type="spellEnd"/>
      <w:r w:rsidR="004F705F" w:rsidRPr="002C0B40">
        <w:rPr>
          <w:rStyle w:val="msoheader0"/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4F705F" w:rsidRPr="002C0B40">
        <w:rPr>
          <w:rStyle w:val="msoheader0"/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F705F" w:rsidRPr="002C0B40">
        <w:rPr>
          <w:rStyle w:val="msoheader0"/>
          <w:rFonts w:ascii="Times New Roman" w:hAnsi="Times New Roman" w:cs="Times New Roman"/>
          <w:sz w:val="28"/>
          <w:szCs w:val="28"/>
        </w:rPr>
        <w:t xml:space="preserve"> район от 29.10.2019г №747 «Об утверждении Порядка формирования перечня и оценки налоговых расходов муниципального</w:t>
      </w:r>
      <w:r w:rsidR="00086B37">
        <w:rPr>
          <w:rStyle w:val="msoheader0"/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86B37">
        <w:rPr>
          <w:rStyle w:val="msoheader0"/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086B37">
        <w:rPr>
          <w:rStyle w:val="msoheader0"/>
          <w:rFonts w:ascii="Times New Roman" w:hAnsi="Times New Roman" w:cs="Times New Roman"/>
          <w:sz w:val="28"/>
          <w:szCs w:val="28"/>
        </w:rPr>
        <w:t xml:space="preserve"> район».</w:t>
      </w:r>
    </w:p>
    <w:p w:rsidR="0008536C" w:rsidRPr="002C0B40" w:rsidRDefault="006C5C2D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Налоговые расходы муницип</w:t>
      </w:r>
      <w:r w:rsidR="0008536C" w:rsidRPr="002C0B40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4F705F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F705F" w:rsidRPr="002C0B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536C" w:rsidRPr="002C0B40">
        <w:rPr>
          <w:rFonts w:ascii="Times New Roman" w:hAnsi="Times New Roman" w:cs="Times New Roman"/>
          <w:sz w:val="28"/>
          <w:szCs w:val="28"/>
        </w:rPr>
        <w:t xml:space="preserve"> это выпадающие доходы бюджета муниципального образования , обусловленные налоговыми льготами, освобождениями и иными преференциями по налогам и сборам, предусмотренными в качестве мер поддержки в соответствии с целями муниципальных программ муниципального образования </w:t>
      </w:r>
      <w:proofErr w:type="spellStart"/>
      <w:r w:rsidR="004F705F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F705F" w:rsidRPr="002C0B40">
        <w:rPr>
          <w:rFonts w:ascii="Times New Roman" w:hAnsi="Times New Roman" w:cs="Times New Roman"/>
          <w:sz w:val="28"/>
          <w:szCs w:val="28"/>
        </w:rPr>
        <w:t xml:space="preserve"> район и </w:t>
      </w:r>
      <w:r w:rsidR="0008536C" w:rsidRPr="002C0B40">
        <w:rPr>
          <w:rFonts w:ascii="Times New Roman" w:hAnsi="Times New Roman" w:cs="Times New Roman"/>
          <w:sz w:val="28"/>
          <w:szCs w:val="28"/>
        </w:rPr>
        <w:t xml:space="preserve"> целями социально-экономической политики муниципального образования </w:t>
      </w:r>
      <w:proofErr w:type="spellStart"/>
      <w:r w:rsidR="004F705F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F705F" w:rsidRPr="002C0B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536C" w:rsidRPr="002C0B40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муниципального образования </w:t>
      </w:r>
      <w:proofErr w:type="spellStart"/>
      <w:r w:rsidR="004F705F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4F705F" w:rsidRPr="002C0B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8536C" w:rsidRPr="002C0B40">
        <w:rPr>
          <w:rFonts w:ascii="Times New Roman" w:hAnsi="Times New Roman" w:cs="Times New Roman"/>
          <w:sz w:val="28"/>
          <w:szCs w:val="28"/>
        </w:rPr>
        <w:t>.</w:t>
      </w:r>
    </w:p>
    <w:p w:rsidR="006B6545" w:rsidRPr="002C0B40" w:rsidRDefault="006B6545" w:rsidP="007E1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Оценка налоговых расходов муниципального образования </w:t>
      </w:r>
      <w:proofErr w:type="spellStart"/>
      <w:r w:rsidR="002C0B40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2C0B40" w:rsidRPr="002C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40" w:rsidRPr="002C0B40">
        <w:rPr>
          <w:rFonts w:ascii="Times New Roman" w:hAnsi="Times New Roman" w:cs="Times New Roman"/>
          <w:sz w:val="28"/>
          <w:szCs w:val="28"/>
        </w:rPr>
        <w:t>рйон</w:t>
      </w:r>
      <w:proofErr w:type="spellEnd"/>
      <w:r w:rsidRPr="002C0B40">
        <w:rPr>
          <w:rFonts w:ascii="Times New Roman" w:hAnsi="Times New Roman" w:cs="Times New Roman"/>
          <w:sz w:val="28"/>
          <w:szCs w:val="28"/>
        </w:rPr>
        <w:t xml:space="preserve"> за 20</w:t>
      </w:r>
      <w:r w:rsidR="00EE5047" w:rsidRPr="002C0B40">
        <w:rPr>
          <w:rFonts w:ascii="Times New Roman" w:hAnsi="Times New Roman" w:cs="Times New Roman"/>
          <w:sz w:val="28"/>
          <w:szCs w:val="28"/>
        </w:rPr>
        <w:t>20</w:t>
      </w:r>
      <w:r w:rsidRPr="002C0B40">
        <w:rPr>
          <w:rFonts w:ascii="Times New Roman" w:hAnsi="Times New Roman" w:cs="Times New Roman"/>
          <w:sz w:val="28"/>
          <w:szCs w:val="28"/>
        </w:rPr>
        <w:t xml:space="preserve"> год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6B6545" w:rsidRPr="002C0B40" w:rsidRDefault="006B6545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В ходе проведения оценки налоговых расходов</w:t>
      </w:r>
      <w:r w:rsidR="006C5C2D" w:rsidRPr="002C0B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C0B40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2C0B40" w:rsidRPr="002C0B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C5C2D" w:rsidRPr="002C0B40">
        <w:rPr>
          <w:rFonts w:ascii="Times New Roman" w:hAnsi="Times New Roman" w:cs="Times New Roman"/>
          <w:sz w:val="28"/>
          <w:szCs w:val="28"/>
        </w:rPr>
        <w:t xml:space="preserve"> за 20</w:t>
      </w:r>
      <w:r w:rsidR="00EE5047" w:rsidRPr="002C0B40">
        <w:rPr>
          <w:rFonts w:ascii="Times New Roman" w:hAnsi="Times New Roman" w:cs="Times New Roman"/>
          <w:sz w:val="28"/>
          <w:szCs w:val="28"/>
        </w:rPr>
        <w:t>20</w:t>
      </w:r>
      <w:r w:rsidR="006C5C2D" w:rsidRPr="002C0B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0B40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6C5C2D" w:rsidRPr="002C0B40">
        <w:rPr>
          <w:rFonts w:ascii="Times New Roman" w:hAnsi="Times New Roman" w:cs="Times New Roman"/>
          <w:sz w:val="28"/>
          <w:szCs w:val="28"/>
        </w:rPr>
        <w:t>и</w:t>
      </w:r>
      <w:r w:rsidRPr="002C0B40">
        <w:rPr>
          <w:rFonts w:ascii="Times New Roman" w:hAnsi="Times New Roman" w:cs="Times New Roman"/>
          <w:sz w:val="28"/>
          <w:szCs w:val="28"/>
        </w:rPr>
        <w:t xml:space="preserve">сь оценка </w:t>
      </w:r>
      <w:r w:rsidR="006C5C2D" w:rsidRPr="002C0B40">
        <w:rPr>
          <w:rFonts w:ascii="Times New Roman" w:hAnsi="Times New Roman" w:cs="Times New Roman"/>
          <w:sz w:val="28"/>
          <w:szCs w:val="28"/>
        </w:rPr>
        <w:t>объемов налоговых расходов и оценк</w:t>
      </w:r>
      <w:r w:rsidR="005C7282" w:rsidRPr="002C0B40">
        <w:rPr>
          <w:rFonts w:ascii="Times New Roman" w:hAnsi="Times New Roman" w:cs="Times New Roman"/>
          <w:sz w:val="28"/>
          <w:szCs w:val="28"/>
        </w:rPr>
        <w:t>а</w:t>
      </w:r>
      <w:r w:rsidR="006C5C2D" w:rsidRPr="002C0B40">
        <w:rPr>
          <w:rFonts w:ascii="Times New Roman" w:hAnsi="Times New Roman" w:cs="Times New Roman"/>
          <w:sz w:val="28"/>
          <w:szCs w:val="28"/>
        </w:rPr>
        <w:t xml:space="preserve"> эффективности налоговых расходов</w:t>
      </w:r>
      <w:r w:rsidRPr="002C0B40">
        <w:rPr>
          <w:rFonts w:ascii="Times New Roman" w:hAnsi="Times New Roman" w:cs="Times New Roman"/>
          <w:sz w:val="28"/>
          <w:szCs w:val="28"/>
        </w:rPr>
        <w:t>.</w:t>
      </w:r>
    </w:p>
    <w:p w:rsidR="005C7F6F" w:rsidRPr="002C0B40" w:rsidRDefault="005C7F6F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муниципального образования </w:t>
      </w:r>
      <w:proofErr w:type="spellStart"/>
      <w:r w:rsidR="002C0B40"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="002C0B40" w:rsidRPr="002C0B4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C0B40">
        <w:rPr>
          <w:rFonts w:ascii="Times New Roman" w:hAnsi="Times New Roman" w:cs="Times New Roman"/>
          <w:sz w:val="28"/>
          <w:szCs w:val="28"/>
        </w:rPr>
        <w:t xml:space="preserve"> </w:t>
      </w:r>
      <w:r w:rsidR="006C5C2D" w:rsidRPr="002C0B40">
        <w:rPr>
          <w:rFonts w:ascii="Times New Roman" w:hAnsi="Times New Roman" w:cs="Times New Roman"/>
          <w:sz w:val="28"/>
          <w:szCs w:val="28"/>
        </w:rPr>
        <w:t>за 20</w:t>
      </w:r>
      <w:r w:rsidR="00EE5047" w:rsidRPr="002C0B40">
        <w:rPr>
          <w:rFonts w:ascii="Times New Roman" w:hAnsi="Times New Roman" w:cs="Times New Roman"/>
          <w:sz w:val="28"/>
          <w:szCs w:val="28"/>
        </w:rPr>
        <w:t>20</w:t>
      </w:r>
      <w:r w:rsidR="006C5C2D" w:rsidRPr="002C0B4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C0B40">
        <w:rPr>
          <w:rFonts w:ascii="Times New Roman" w:hAnsi="Times New Roman" w:cs="Times New Roman"/>
          <w:sz w:val="28"/>
          <w:szCs w:val="28"/>
        </w:rPr>
        <w:t>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</w:t>
      </w:r>
      <w:r w:rsidR="006C5C2D" w:rsidRPr="002C0B40">
        <w:rPr>
          <w:rFonts w:ascii="Times New Roman" w:hAnsi="Times New Roman" w:cs="Times New Roman"/>
          <w:sz w:val="28"/>
          <w:szCs w:val="28"/>
        </w:rPr>
        <w:t>е</w:t>
      </w:r>
      <w:r w:rsidRPr="002C0B40">
        <w:rPr>
          <w:rFonts w:ascii="Times New Roman" w:hAnsi="Times New Roman" w:cs="Times New Roman"/>
          <w:sz w:val="28"/>
          <w:szCs w:val="28"/>
        </w:rPr>
        <w:t xml:space="preserve"> УФНС России по Тульской области.</w:t>
      </w:r>
    </w:p>
    <w:p w:rsidR="00086B37" w:rsidRDefault="00086B37" w:rsidP="002C0B40">
      <w:pPr>
        <w:spacing w:before="12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6B37" w:rsidRDefault="00086B37" w:rsidP="002C0B40">
      <w:pPr>
        <w:spacing w:before="12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0B40" w:rsidRPr="002C0B40" w:rsidRDefault="002C0B40" w:rsidP="002C0B40">
      <w:pPr>
        <w:spacing w:before="12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0B40">
        <w:rPr>
          <w:rFonts w:ascii="Times New Roman" w:hAnsi="Times New Roman" w:cs="Times New Roman"/>
          <w:sz w:val="28"/>
          <w:szCs w:val="28"/>
        </w:rPr>
        <w:t>Характеристика налоговых расходов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552"/>
      </w:tblGrid>
      <w:tr w:rsidR="002C0B40" w:rsidRPr="002C0B40" w:rsidTr="00D10960">
        <w:tc>
          <w:tcPr>
            <w:tcW w:w="3369" w:type="dxa"/>
          </w:tcPr>
          <w:p w:rsidR="002C0B40" w:rsidRPr="002C0B40" w:rsidRDefault="002C0B40" w:rsidP="00D1096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Нормативные характеристики</w:t>
            </w:r>
          </w:p>
        </w:tc>
        <w:tc>
          <w:tcPr>
            <w:tcW w:w="3543" w:type="dxa"/>
          </w:tcPr>
          <w:p w:rsidR="002C0B40" w:rsidRPr="002C0B40" w:rsidRDefault="002C0B40" w:rsidP="00D1096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</w:t>
            </w:r>
          </w:p>
        </w:tc>
        <w:tc>
          <w:tcPr>
            <w:tcW w:w="2552" w:type="dxa"/>
          </w:tcPr>
          <w:p w:rsidR="002C0B40" w:rsidRPr="002C0B40" w:rsidRDefault="002C0B40" w:rsidP="00D1096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Целевые характеристики</w:t>
            </w:r>
          </w:p>
        </w:tc>
      </w:tr>
      <w:tr w:rsidR="002C0B40" w:rsidRPr="002C0B40" w:rsidTr="00D10960">
        <w:tc>
          <w:tcPr>
            <w:tcW w:w="3369" w:type="dxa"/>
          </w:tcPr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1. п.4 решения Собрания депутатов рабочий поселок Куркино </w:t>
            </w:r>
            <w:proofErr w:type="spellStart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23 октября 2019 года № 10-5 «Об утверждении Положения «Об установлении земельного налога муниципальном образовании рабочий поселок Куркино </w:t>
            </w:r>
            <w:proofErr w:type="spellStart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2020год»;</w:t>
            </w:r>
          </w:p>
          <w:p w:rsidR="002C0B40" w:rsidRPr="002C0B40" w:rsidRDefault="002C0B40" w:rsidP="00D10960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B40">
              <w:rPr>
                <w:rFonts w:ascii="Times New Roman" w:hAnsi="Times New Roman"/>
                <w:sz w:val="28"/>
                <w:szCs w:val="28"/>
              </w:rPr>
              <w:t xml:space="preserve">2. Решение </w:t>
            </w:r>
            <w:proofErr w:type="gramStart"/>
            <w:r w:rsidRPr="002C0B40">
              <w:rPr>
                <w:rFonts w:ascii="Times New Roman" w:hAnsi="Times New Roman"/>
                <w:sz w:val="28"/>
                <w:szCs w:val="28"/>
              </w:rPr>
              <w:t>Собрания  депутатов</w:t>
            </w:r>
            <w:proofErr w:type="gram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рабочий поселок Куркино </w:t>
            </w:r>
            <w:proofErr w:type="spellStart"/>
            <w:r w:rsidRPr="002C0B40">
              <w:rPr>
                <w:rFonts w:ascii="Times New Roman" w:hAnsi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района от 25.05.2020 №18-1 « О внесении изменений в положение «Об установлении налога на имущество физических лиц на территории муниципального образования рабочий поселок Куркино </w:t>
            </w:r>
            <w:proofErr w:type="spellStart"/>
            <w:r w:rsidRPr="002C0B40">
              <w:rPr>
                <w:rFonts w:ascii="Times New Roman" w:hAnsi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района на 2020 год», утвержденное решением Собрания депутатов муниципального образования рабочий поселок Куркино </w:t>
            </w:r>
            <w:proofErr w:type="spellStart"/>
            <w:r w:rsidRPr="002C0B40">
              <w:rPr>
                <w:rFonts w:ascii="Times New Roman" w:hAnsi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района от 23.10.2019г. №10-6»</w:t>
            </w:r>
          </w:p>
          <w:p w:rsidR="002C0B40" w:rsidRPr="002C0B40" w:rsidRDefault="002C0B40" w:rsidP="00D1096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B4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proofErr w:type="gramStart"/>
            <w:r w:rsidRPr="002C0B40">
              <w:rPr>
                <w:rFonts w:ascii="Times New Roman" w:hAnsi="Times New Roman"/>
                <w:sz w:val="28"/>
                <w:szCs w:val="28"/>
              </w:rPr>
              <w:t>Собрания  депутатов</w:t>
            </w:r>
            <w:proofErr w:type="gram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Михайловское </w:t>
            </w:r>
            <w:proofErr w:type="spellStart"/>
            <w:r w:rsidRPr="002C0B40">
              <w:rPr>
                <w:rFonts w:ascii="Times New Roman" w:hAnsi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района от </w:t>
            </w:r>
            <w:r w:rsidRPr="002C0B40">
              <w:rPr>
                <w:rFonts w:ascii="Times New Roman" w:hAnsi="Times New Roman"/>
                <w:sz w:val="28"/>
                <w:szCs w:val="28"/>
              </w:rPr>
              <w:lastRenderedPageBreak/>
              <w:t>26.05.2020 №17-1 «О внесении изменений в положение «Об установлении налога на имущество физических лиц на территории муниципального образования Михайловское</w:t>
            </w:r>
          </w:p>
          <w:p w:rsidR="002C0B40" w:rsidRPr="002C0B40" w:rsidRDefault="002C0B40" w:rsidP="00D10960">
            <w:pPr>
              <w:pStyle w:val="2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0B40">
              <w:rPr>
                <w:rFonts w:ascii="Times New Roman" w:hAnsi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района на 2020 год», утвержденное решением Собрания депутатов муниципального образования Михайловское </w:t>
            </w:r>
            <w:proofErr w:type="spellStart"/>
            <w:r w:rsidRPr="002C0B40">
              <w:rPr>
                <w:rFonts w:ascii="Times New Roman" w:hAnsi="Times New Roman"/>
                <w:sz w:val="28"/>
                <w:szCs w:val="28"/>
              </w:rPr>
              <w:t>Куркинского</w:t>
            </w:r>
            <w:proofErr w:type="spellEnd"/>
            <w:r w:rsidRPr="002C0B40">
              <w:rPr>
                <w:rFonts w:ascii="Times New Roman" w:hAnsi="Times New Roman"/>
                <w:sz w:val="28"/>
                <w:szCs w:val="28"/>
              </w:rPr>
              <w:t xml:space="preserve"> района от 29.10.2019г. №10-3»</w:t>
            </w: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C0B40" w:rsidRPr="002C0B40" w:rsidRDefault="002C0B40" w:rsidP="00D1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Численность получателей льгот – 142;</w:t>
            </w:r>
          </w:p>
          <w:p w:rsidR="002C0B40" w:rsidRPr="002C0B40" w:rsidRDefault="002C0B40" w:rsidP="00D1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объем налогов, задекларированных ими для уплаты в местный бюджет – 137,4 тыс. рублей;</w:t>
            </w: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2.Численность получателей -61, выпадающий доход – 1962,0 тыс. рублей</w:t>
            </w: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3.Численность получателей – 71, выпадающий доход – 821,0 тыс. рублей</w:t>
            </w: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0B40" w:rsidRPr="002C0B40" w:rsidRDefault="002C0B40" w:rsidP="00D109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целях обеспечения</w:t>
            </w: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потребности льготных категорий граждан в земельных участках и предоставления мер поддержки.</w:t>
            </w: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Дополнительные меры поддержки субъектам малого и среднего бизнеса</w:t>
            </w: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распоряжением </w:t>
            </w:r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правительства Тульской области от 29.04.2020г №311-р</w:t>
            </w:r>
          </w:p>
          <w:p w:rsidR="002C0B40" w:rsidRPr="002C0B40" w:rsidRDefault="002C0B40" w:rsidP="00D1096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 мерах по обеспечению устойчивого развития экономики Тульской области в условиях предупреждения распространения </w:t>
            </w:r>
            <w:proofErr w:type="spellStart"/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>коронавирусной</w:t>
            </w:r>
            <w:proofErr w:type="spellEnd"/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инфекции (</w:t>
            </w:r>
            <w:r w:rsidRPr="002C0B4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COVID</w:t>
            </w:r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>-19)</w:t>
            </w:r>
          </w:p>
        </w:tc>
      </w:tr>
    </w:tbl>
    <w:p w:rsidR="002C0B40" w:rsidRPr="002C0B40" w:rsidRDefault="002C0B40" w:rsidP="002C0B40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 формирования перечня оценки налоговых расходов муниципального образования рабочий поселок Куркино </w:t>
      </w:r>
      <w:proofErr w:type="spellStart"/>
      <w:r w:rsidRPr="002C0B4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C0B40">
        <w:rPr>
          <w:rFonts w:ascii="Times New Roman" w:hAnsi="Times New Roman" w:cs="Times New Roman"/>
          <w:sz w:val="28"/>
          <w:szCs w:val="28"/>
        </w:rPr>
        <w:t xml:space="preserve"> района,  Порядком формирования перечня оценки налоговых расходов муниципального образования Михайловское </w:t>
      </w:r>
      <w:proofErr w:type="spellStart"/>
      <w:r w:rsidRPr="002C0B4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C0B40">
        <w:rPr>
          <w:rFonts w:ascii="Times New Roman" w:hAnsi="Times New Roman" w:cs="Times New Roman"/>
          <w:sz w:val="28"/>
          <w:szCs w:val="28"/>
        </w:rPr>
        <w:t xml:space="preserve"> района кураторами налогового расхода являются структурные подразделения Администрации муниципального образования </w:t>
      </w:r>
      <w:proofErr w:type="spellStart"/>
      <w:r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r w:rsidRPr="002C0B40">
        <w:rPr>
          <w:rFonts w:ascii="Times New Roman" w:hAnsi="Times New Roman" w:cs="Times New Roman"/>
          <w:sz w:val="28"/>
          <w:szCs w:val="28"/>
        </w:rPr>
        <w:t xml:space="preserve"> район и администрация муниципального образования Михайловское </w:t>
      </w:r>
      <w:proofErr w:type="spellStart"/>
      <w:r w:rsidRPr="002C0B4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C0B40">
        <w:rPr>
          <w:rFonts w:ascii="Times New Roman" w:hAnsi="Times New Roman" w:cs="Times New Roman"/>
          <w:sz w:val="28"/>
          <w:szCs w:val="28"/>
        </w:rPr>
        <w:t xml:space="preserve"> района ,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муниципальных программ.</w:t>
      </w:r>
    </w:p>
    <w:p w:rsidR="002C0B40" w:rsidRPr="002C0B40" w:rsidRDefault="002C0B40" w:rsidP="002C0B40">
      <w:pPr>
        <w:pStyle w:val="a6"/>
        <w:spacing w:before="120"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0B40" w:rsidRPr="002C0B40" w:rsidRDefault="002C0B40" w:rsidP="002C0B40">
      <w:pPr>
        <w:pStyle w:val="a6"/>
        <w:numPr>
          <w:ilvl w:val="1"/>
          <w:numId w:val="6"/>
        </w:numPr>
        <w:spacing w:before="120" w:after="0" w:line="276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>Оценка целесообразности налоговых расходов муниципальных образований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2C0B40" w:rsidRPr="002C0B40" w:rsidRDefault="002C0B40" w:rsidP="002C0B40">
      <w:pPr>
        <w:pStyle w:val="a6"/>
        <w:numPr>
          <w:ilvl w:val="0"/>
          <w:numId w:val="4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муниципального образования целям муниципальных программ, структурных </w:t>
      </w:r>
      <w:proofErr w:type="spellStart"/>
      <w:r w:rsidRPr="002C0B40">
        <w:rPr>
          <w:rFonts w:ascii="Times New Roman" w:hAnsi="Times New Roman" w:cs="Times New Roman"/>
          <w:sz w:val="28"/>
          <w:szCs w:val="28"/>
        </w:rPr>
        <w:t>элементовмуниципальных</w:t>
      </w:r>
      <w:proofErr w:type="spellEnd"/>
      <w:r w:rsidRPr="002C0B40">
        <w:rPr>
          <w:rFonts w:ascii="Times New Roman" w:hAnsi="Times New Roman" w:cs="Times New Roman"/>
          <w:sz w:val="28"/>
          <w:szCs w:val="28"/>
        </w:rPr>
        <w:t xml:space="preserve"> программ </w:t>
      </w:r>
    </w:p>
    <w:p w:rsidR="002C0B40" w:rsidRPr="002C0B40" w:rsidRDefault="002C0B40" w:rsidP="002C0B40">
      <w:pPr>
        <w:pStyle w:val="a6"/>
        <w:numPr>
          <w:ilvl w:val="0"/>
          <w:numId w:val="4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C0B40" w:rsidRPr="002C0B40" w:rsidRDefault="002C0B40" w:rsidP="002C0B40">
      <w:pPr>
        <w:pStyle w:val="a6"/>
        <w:numPr>
          <w:ilvl w:val="2"/>
          <w:numId w:val="6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соответствия налоговых расходов муниципального образования целям муниципальных программ, структурных элементов муниципальных программ </w:t>
      </w:r>
    </w:p>
    <w:p w:rsidR="002C0B40" w:rsidRPr="002C0B40" w:rsidRDefault="002C0B40" w:rsidP="002C0B40">
      <w:pPr>
        <w:pStyle w:val="a6"/>
        <w:numPr>
          <w:ilvl w:val="2"/>
          <w:numId w:val="6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программам.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Один налоговый расход может соответствовать нескольким целям муниципальных программ, структурных элементов и (или) целям социально-экономической политики, не относящимся к муниципальным </w:t>
      </w:r>
      <w:proofErr w:type="gramStart"/>
      <w:r w:rsidRPr="002C0B40">
        <w:rPr>
          <w:rFonts w:ascii="Times New Roman" w:hAnsi="Times New Roman" w:cs="Times New Roman"/>
          <w:sz w:val="28"/>
          <w:szCs w:val="28"/>
        </w:rPr>
        <w:t>программам(</w:t>
      </w:r>
      <w:proofErr w:type="gramEnd"/>
      <w:r w:rsidRPr="002C0B40">
        <w:rPr>
          <w:rFonts w:ascii="Times New Roman" w:hAnsi="Times New Roman" w:cs="Times New Roman"/>
          <w:sz w:val="28"/>
          <w:szCs w:val="28"/>
        </w:rPr>
        <w:t>такие цели могут носить разнородный характер). В этом случае при проведении оценки целесообразности налоговых расходов муниципальных образований следует определить одну цель, которая в большей степени отражает цель предоставления налоговой льготы.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При оценке налоговых расходов муниципальных образований следует учитывать, что налоговый расход должен оказывать прямое или косвенное влияние на достижение целей муниципальной программы, ее структурных элементов и (или) целей социально-экономической политики, не относящихся </w:t>
      </w:r>
      <w:proofErr w:type="gramStart"/>
      <w:r w:rsidRPr="002C0B40">
        <w:rPr>
          <w:rFonts w:ascii="Times New Roman" w:hAnsi="Times New Roman" w:cs="Times New Roman"/>
          <w:sz w:val="28"/>
          <w:szCs w:val="28"/>
        </w:rPr>
        <w:t>к муниципальным программ</w:t>
      </w:r>
      <w:proofErr w:type="gramEnd"/>
      <w:r w:rsidRPr="002C0B40">
        <w:rPr>
          <w:rFonts w:ascii="Times New Roman" w:hAnsi="Times New Roman" w:cs="Times New Roman"/>
          <w:sz w:val="28"/>
          <w:szCs w:val="28"/>
        </w:rPr>
        <w:t>. Прямое влияние предполагает, что связь между налоговыми расходами и вышеуказанными целями должна быть понятной и однозначно воспринимаемой. Косвенное (опосредованное) влияние должно сопровождаться описанием обоснования взаимосвязи между налоговым расходом и вышеуказанными целями.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Налоговые расходы муниципального образования могут соответствовать указанным целям следующим образом.</w:t>
      </w:r>
    </w:p>
    <w:p w:rsidR="002C0B40" w:rsidRPr="002C0B40" w:rsidRDefault="002C0B40" w:rsidP="002C0B40">
      <w:pPr>
        <w:pStyle w:val="a6"/>
        <w:numPr>
          <w:ilvl w:val="0"/>
          <w:numId w:val="5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Налоговый расход соответствует цели муниципальной программы.</w:t>
      </w:r>
    </w:p>
    <w:p w:rsidR="002C0B40" w:rsidRPr="002C0B40" w:rsidRDefault="002C0B40" w:rsidP="002C0B40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Налоговый расход соответствует цели муниципальной программы, если он в целом способствует развитию сферы социально-экономического развития, на достижение целей которой направлена муниципальная программа, и (или) соответствует целям нескольких структурных элементов одной муниципальной программы.</w:t>
      </w:r>
    </w:p>
    <w:p w:rsidR="002C0B40" w:rsidRPr="002C0B40" w:rsidRDefault="002C0B40" w:rsidP="002C0B40">
      <w:pPr>
        <w:pStyle w:val="a6"/>
        <w:numPr>
          <w:ilvl w:val="0"/>
          <w:numId w:val="5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Налоговый расход соответствует цели структурного элемента муниципальной программы.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438"/>
        <w:gridCol w:w="3090"/>
        <w:gridCol w:w="2199"/>
        <w:gridCol w:w="2469"/>
      </w:tblGrid>
      <w:tr w:rsidR="002C0B40" w:rsidRPr="002C0B40" w:rsidTr="00D10960">
        <w:trPr>
          <w:tblHeader/>
        </w:trPr>
        <w:tc>
          <w:tcPr>
            <w:tcW w:w="1312" w:type="pct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Налоговый расход (</w:t>
            </w:r>
            <w:r w:rsidRPr="002C0B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целевая категория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05" w:type="pct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029" w:type="pct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подпрограммы муниципальной программы</w:t>
            </w:r>
          </w:p>
        </w:tc>
        <w:tc>
          <w:tcPr>
            <w:tcW w:w="1153" w:type="pct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муниципальной программы</w:t>
            </w:r>
          </w:p>
        </w:tc>
      </w:tr>
      <w:tr w:rsidR="002C0B40" w:rsidRPr="002C0B40" w:rsidTr="00D10960">
        <w:tc>
          <w:tcPr>
            <w:tcW w:w="1312" w:type="pct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Освобождение от земельного налога 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граждан, в отношении земельных участков предоставленных в соответствии </w:t>
            </w:r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      </w: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C0B4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Законом Тульской области от 26.10. 2015г. № 2362-ЗТО «</w:t>
            </w: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505" w:type="pct"/>
          </w:tcPr>
          <w:p w:rsidR="002C0B40" w:rsidRPr="002C0B40" w:rsidRDefault="002C0B40" w:rsidP="00D10960">
            <w:pPr>
              <w:pStyle w:val="21"/>
              <w:shd w:val="clear" w:color="auto" w:fill="auto"/>
              <w:spacing w:after="296" w:line="317" w:lineRule="exact"/>
              <w:ind w:right="840"/>
              <w:jc w:val="both"/>
              <w:rPr>
                <w:b w:val="0"/>
                <w:sz w:val="28"/>
                <w:szCs w:val="28"/>
              </w:rPr>
            </w:pPr>
            <w:r w:rsidRPr="002C0B40">
              <w:rPr>
                <w:b w:val="0"/>
                <w:sz w:val="28"/>
                <w:szCs w:val="28"/>
              </w:rPr>
              <w:lastRenderedPageBreak/>
              <w:t xml:space="preserve"> «Развитие образования в </w:t>
            </w:r>
            <w:r w:rsidRPr="002C0B40">
              <w:rPr>
                <w:b w:val="0"/>
                <w:sz w:val="28"/>
                <w:szCs w:val="28"/>
              </w:rPr>
              <w:lastRenderedPageBreak/>
              <w:t xml:space="preserve">муниципальном образовании </w:t>
            </w:r>
            <w:proofErr w:type="spellStart"/>
            <w:r w:rsidRPr="002C0B40">
              <w:rPr>
                <w:b w:val="0"/>
                <w:sz w:val="28"/>
                <w:szCs w:val="28"/>
              </w:rPr>
              <w:t>Куркинский</w:t>
            </w:r>
            <w:proofErr w:type="spellEnd"/>
            <w:r w:rsidRPr="002C0B40">
              <w:rPr>
                <w:b w:val="0"/>
                <w:sz w:val="28"/>
                <w:szCs w:val="28"/>
              </w:rPr>
              <w:t xml:space="preserve"> район»</w:t>
            </w:r>
          </w:p>
          <w:p w:rsidR="002C0B40" w:rsidRPr="002C0B40" w:rsidRDefault="002C0B40" w:rsidP="00D10960">
            <w:pPr>
              <w:pStyle w:val="21"/>
              <w:shd w:val="clear" w:color="auto" w:fill="auto"/>
              <w:spacing w:after="296" w:line="317" w:lineRule="exact"/>
              <w:ind w:right="840"/>
              <w:jc w:val="both"/>
              <w:rPr>
                <w:b w:val="0"/>
                <w:sz w:val="28"/>
                <w:szCs w:val="28"/>
              </w:rPr>
            </w:pPr>
            <w:r w:rsidRPr="002C0B40">
              <w:rPr>
                <w:b w:val="0"/>
                <w:sz w:val="28"/>
                <w:szCs w:val="28"/>
              </w:rPr>
              <w:t xml:space="preserve">«Улучшение демографической ситуации и поддержка семей, воспитывающих детей, в муниципальном образовании </w:t>
            </w:r>
            <w:proofErr w:type="spellStart"/>
            <w:r w:rsidRPr="002C0B40">
              <w:rPr>
                <w:b w:val="0"/>
                <w:sz w:val="28"/>
                <w:szCs w:val="28"/>
              </w:rPr>
              <w:t>Куркинский</w:t>
            </w:r>
            <w:proofErr w:type="spellEnd"/>
            <w:r w:rsidRPr="002C0B40">
              <w:rPr>
                <w:b w:val="0"/>
                <w:sz w:val="28"/>
                <w:szCs w:val="28"/>
              </w:rPr>
              <w:t xml:space="preserve"> район»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поддержка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 из социально незащищенных и многодетных малоимущих семей</w:t>
            </w:r>
          </w:p>
        </w:tc>
        <w:tc>
          <w:tcPr>
            <w:tcW w:w="1153" w:type="pct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Предоставление мер социальной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поддержки отдельным категориям граждан в муниципальном образовании</w:t>
            </w:r>
          </w:p>
        </w:tc>
      </w:tr>
      <w:tr w:rsidR="002C0B40" w:rsidRPr="002C0B40" w:rsidTr="00D10960">
        <w:tc>
          <w:tcPr>
            <w:tcW w:w="1312" w:type="pct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Освобождение от уплаты </w:t>
            </w:r>
            <w:r w:rsidRPr="002C0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земельного налога органам местного самоуправления и муниципальным учреждениям, финансируемым из бюджета муниципального образования </w:t>
            </w:r>
            <w:proofErr w:type="spellStart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Куркинский</w:t>
            </w:r>
            <w:proofErr w:type="spellEnd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район, в отношении земельных участков, предоставленных для непосредственного выполнения возложенных на эти организации и учреждения функции</w:t>
            </w:r>
          </w:p>
        </w:tc>
        <w:tc>
          <w:tcPr>
            <w:tcW w:w="1505" w:type="pct"/>
          </w:tcPr>
          <w:p w:rsidR="002C0B40" w:rsidRPr="002C0B40" w:rsidDel="00DA7F5F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Формирование современной городской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среды на территории муниципального образования</w:t>
            </w:r>
          </w:p>
        </w:tc>
        <w:tc>
          <w:tcPr>
            <w:tcW w:w="1029" w:type="pct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Благоустройство общественных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территорий муниципального образования</w:t>
            </w:r>
          </w:p>
        </w:tc>
        <w:tc>
          <w:tcPr>
            <w:tcW w:w="1153" w:type="pct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Повышение уровня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комфортности жизнедеятельности граждан посредством благоустройства наиболее посещаемых территорий общественного пользования</w:t>
            </w:r>
          </w:p>
        </w:tc>
      </w:tr>
    </w:tbl>
    <w:p w:rsidR="002C0B40" w:rsidRPr="002C0B40" w:rsidRDefault="002C0B40" w:rsidP="002C0B40">
      <w:pPr>
        <w:pStyle w:val="4"/>
        <w:numPr>
          <w:ilvl w:val="0"/>
          <w:numId w:val="5"/>
        </w:numPr>
        <w:spacing w:before="120" w:line="276" w:lineRule="auto"/>
        <w:ind w:left="0" w:firstLine="709"/>
        <w:rPr>
          <w:rFonts w:cs="Times New Roman"/>
          <w:szCs w:val="28"/>
        </w:rPr>
      </w:pPr>
      <w:r w:rsidRPr="002C0B40">
        <w:rPr>
          <w:rFonts w:cs="Times New Roman"/>
          <w:szCs w:val="28"/>
        </w:rPr>
        <w:lastRenderedPageBreak/>
        <w:t>Налоговый расход соответствует цели социально-экономической политики муниципального образования.</w:t>
      </w:r>
    </w:p>
    <w:p w:rsidR="002C0B40" w:rsidRPr="002C0B40" w:rsidRDefault="002C0B40" w:rsidP="002C0B40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Цели социально-экономической политики, которым могут соответствовать налоговые расходы, могут быть отражены в следующих документах:</w:t>
      </w:r>
    </w:p>
    <w:p w:rsidR="002C0B40" w:rsidRPr="002C0B40" w:rsidRDefault="002C0B40" w:rsidP="002C0B40">
      <w:pPr>
        <w:pStyle w:val="a6"/>
        <w:numPr>
          <w:ilvl w:val="0"/>
          <w:numId w:val="7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Концепция социально-экономического развития муниципального образования;</w:t>
      </w:r>
    </w:p>
    <w:p w:rsidR="002C0B40" w:rsidRPr="002C0B40" w:rsidRDefault="002C0B40" w:rsidP="002C0B40">
      <w:pPr>
        <w:pStyle w:val="a6"/>
        <w:numPr>
          <w:ilvl w:val="0"/>
          <w:numId w:val="7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план мероприятий по реализации концепции социально-экономического развития муниципального образования;</w:t>
      </w:r>
    </w:p>
    <w:p w:rsidR="002C0B40" w:rsidRPr="002C0B40" w:rsidRDefault="002C0B40" w:rsidP="002C0B40">
      <w:pPr>
        <w:pStyle w:val="a6"/>
        <w:numPr>
          <w:ilvl w:val="0"/>
          <w:numId w:val="7"/>
        </w:numPr>
        <w:spacing w:before="12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систем коммунальной инфраструктуры, программы комплексного развития транспортной </w:t>
      </w:r>
      <w:proofErr w:type="gramStart"/>
      <w:r w:rsidRPr="002C0B40">
        <w:rPr>
          <w:rFonts w:ascii="Times New Roman" w:hAnsi="Times New Roman" w:cs="Times New Roman"/>
          <w:sz w:val="28"/>
          <w:szCs w:val="28"/>
        </w:rPr>
        <w:t>инфраструктуры ,</w:t>
      </w:r>
      <w:proofErr w:type="gramEnd"/>
      <w:r w:rsidRPr="002C0B40">
        <w:rPr>
          <w:rFonts w:ascii="Times New Roman" w:hAnsi="Times New Roman" w:cs="Times New Roman"/>
          <w:sz w:val="28"/>
          <w:szCs w:val="28"/>
        </w:rPr>
        <w:t xml:space="preserve"> городских округов, программы комплексного развития социальной инфраструктуры ;</w:t>
      </w:r>
    </w:p>
    <w:p w:rsidR="002C0B40" w:rsidRPr="002C0B40" w:rsidRDefault="002C0B40" w:rsidP="002C0B40">
      <w:pPr>
        <w:spacing w:before="120"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92"/>
        <w:gridCol w:w="2837"/>
        <w:gridCol w:w="3967"/>
      </w:tblGrid>
      <w:tr w:rsidR="002C0B40" w:rsidRPr="002C0B40" w:rsidTr="00D10960">
        <w:trPr>
          <w:tblHeader/>
        </w:trPr>
        <w:tc>
          <w:tcPr>
            <w:tcW w:w="3369" w:type="dxa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Налоговый расход</w:t>
            </w:r>
          </w:p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документа стратегического планирования или программы развития инфраструктуры / его структурного элемента</w:t>
            </w:r>
          </w:p>
        </w:tc>
        <w:tc>
          <w:tcPr>
            <w:tcW w:w="0" w:type="auto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документа стратегического планирования или программы развития инфраструктуры, его структурного элемента</w:t>
            </w:r>
          </w:p>
        </w:tc>
      </w:tr>
      <w:tr w:rsidR="002C0B40" w:rsidRPr="002C0B40" w:rsidTr="00D10960">
        <w:tc>
          <w:tcPr>
            <w:tcW w:w="3369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Снижение с 2 до 1 процента в отношении объектов налогообложения, включенных в перечень, определяемый в соответствии с </w:t>
            </w:r>
            <w:hyperlink r:id="rId8" w:anchor="dst9219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9" w:anchor="dst13986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7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малого и среднего предпринимательства муниципального образования </w:t>
            </w:r>
            <w:proofErr w:type="spellStart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Куркинский</w:t>
            </w:r>
            <w:proofErr w:type="spellEnd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Дополнительные меры поддержки субъектов малого и среднего предпринимательства в целях обеспечения </w:t>
            </w:r>
            <w:proofErr w:type="spellStart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рироста</w:t>
            </w:r>
            <w:proofErr w:type="spellEnd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, обеспечивающих в сочетании с другими секторами экономики муниципального образования прогнозируемое и устойчивое социально-экономическое развитие муниципального образования, повышение качества жизни населения</w:t>
            </w:r>
          </w:p>
        </w:tc>
      </w:tr>
    </w:tbl>
    <w:p w:rsidR="002C0B40" w:rsidRPr="002C0B40" w:rsidRDefault="002C0B40" w:rsidP="002C0B40">
      <w:pPr>
        <w:pStyle w:val="a6"/>
        <w:numPr>
          <w:ilvl w:val="2"/>
          <w:numId w:val="6"/>
        </w:numPr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>Оценка востребованности плательщиками предоставленных налоговых льгот</w:t>
      </w:r>
    </w:p>
    <w:p w:rsidR="002C0B40" w:rsidRPr="002C0B40" w:rsidRDefault="002C0B40" w:rsidP="002C0B40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2C0B40" w:rsidRPr="002C0B40" w:rsidRDefault="002C0B40" w:rsidP="002C0B40">
      <w:pPr>
        <w:spacing w:before="120"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392"/>
        <w:gridCol w:w="3181"/>
        <w:gridCol w:w="3623"/>
      </w:tblGrid>
      <w:tr w:rsidR="002C0B40" w:rsidRPr="002C0B40" w:rsidTr="00D10960">
        <w:trPr>
          <w:tblHeader/>
        </w:trPr>
        <w:tc>
          <w:tcPr>
            <w:tcW w:w="3085" w:type="dxa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Налоговый расход</w:t>
            </w:r>
          </w:p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2C0B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целевая категория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81" w:type="dxa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Показатель, используемый для определения общей потенциальной численности плательщиков</w:t>
            </w:r>
          </w:p>
        </w:tc>
        <w:tc>
          <w:tcPr>
            <w:tcW w:w="0" w:type="auto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Возможные источники информации</w:t>
            </w:r>
          </w:p>
        </w:tc>
      </w:tr>
      <w:tr w:rsidR="002C0B40" w:rsidRPr="002C0B40" w:rsidTr="00D10960">
        <w:tc>
          <w:tcPr>
            <w:tcW w:w="3085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Освобождение от уплаты земельного налога народных дружинников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Данные по регистрации народных дружинников</w:t>
            </w:r>
          </w:p>
        </w:tc>
      </w:tr>
      <w:tr w:rsidR="002C0B40" w:rsidRPr="002C0B40" w:rsidTr="00D10960">
        <w:tc>
          <w:tcPr>
            <w:tcW w:w="3085" w:type="dxa"/>
          </w:tcPr>
          <w:p w:rsidR="002C0B40" w:rsidRPr="002C0B40" w:rsidDel="000D5C18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органам местного самоуправления и муниципальным учреждениям, финансируемым из бюджета муниципального образования </w:t>
            </w:r>
            <w:proofErr w:type="spellStart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Куркинский</w:t>
            </w:r>
            <w:proofErr w:type="spellEnd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район, в отношении земельных участков, предоставленных для непосредственного выполнения возложенных на эти организации и учреждения функции</w:t>
            </w:r>
          </w:p>
        </w:tc>
        <w:tc>
          <w:tcPr>
            <w:tcW w:w="3181" w:type="dxa"/>
          </w:tcPr>
          <w:p w:rsidR="002C0B40" w:rsidRPr="002C0B40" w:rsidDel="000D5C18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2C0B40" w:rsidRPr="002C0B40" w:rsidDel="000D5C18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Данные ФНС</w:t>
            </w:r>
          </w:p>
        </w:tc>
      </w:tr>
      <w:tr w:rsidR="002C0B40" w:rsidRPr="002C0B40" w:rsidTr="00D10960">
        <w:tc>
          <w:tcPr>
            <w:tcW w:w="3085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Освобождение от земельного налога 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в отношении земельных участков предоставленных в соответствии </w:t>
            </w:r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      </w: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C0B4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Законом Тульской области от </w:t>
            </w:r>
            <w:r w:rsidRPr="002C0B4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26.10. 2015г. № 2362-ЗТО «</w:t>
            </w: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81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Реестр льготников, </w:t>
            </w:r>
          </w:p>
        </w:tc>
      </w:tr>
      <w:tr w:rsidR="002C0B40" w:rsidRPr="002C0B40" w:rsidTr="00D10960">
        <w:tc>
          <w:tcPr>
            <w:tcW w:w="3085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Снижение с 2 до 1 процента в отношении объектов налогообложения, включенных в перечень, определяемый в соответствии с </w:t>
            </w:r>
            <w:hyperlink r:id="rId10" w:anchor="dst9219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1" w:anchor="dst13986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181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ФНС, перечень объектов</w:t>
            </w:r>
          </w:p>
        </w:tc>
      </w:tr>
      <w:tr w:rsidR="002C0B40" w:rsidRPr="002C0B40" w:rsidTr="00D10960">
        <w:tc>
          <w:tcPr>
            <w:tcW w:w="3085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Снижение с 2 до 1 процента в отношении объектов налогообложения, </w:t>
            </w:r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lastRenderedPageBreak/>
              <w:t>включенных в перечень, определяемый в соответствии с </w:t>
            </w:r>
            <w:hyperlink r:id="rId12" w:anchor="dst9219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3" w:anchor="dst13986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181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Данные ФНС</w:t>
            </w:r>
          </w:p>
        </w:tc>
      </w:tr>
    </w:tbl>
    <w:p w:rsidR="002C0B40" w:rsidRPr="002C0B40" w:rsidRDefault="002C0B40" w:rsidP="002C0B40">
      <w:pPr>
        <w:pStyle w:val="a6"/>
        <w:numPr>
          <w:ilvl w:val="1"/>
          <w:numId w:val="6"/>
        </w:numPr>
        <w:spacing w:before="120" w:after="0" w:line="276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налоговых расходов </w:t>
      </w:r>
    </w:p>
    <w:p w:rsidR="002C0B40" w:rsidRPr="002C0B40" w:rsidRDefault="002C0B40" w:rsidP="002C0B40">
      <w:pPr>
        <w:pStyle w:val="a6"/>
        <w:spacing w:before="120" w:after="0"/>
        <w:ind w:left="375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 xml:space="preserve">                            муниципального образования</w:t>
      </w:r>
    </w:p>
    <w:p w:rsidR="002C0B40" w:rsidRPr="002C0B40" w:rsidRDefault="002C0B40" w:rsidP="002C0B40">
      <w:pPr>
        <w:pStyle w:val="a6"/>
        <w:numPr>
          <w:ilvl w:val="2"/>
          <w:numId w:val="6"/>
        </w:numPr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>Оценка вклада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муниципального образования, не относящихся к муниципальным программам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Целевой показатель отражает специфику налогового расхода.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539"/>
        <w:gridCol w:w="3392"/>
        <w:gridCol w:w="3265"/>
      </w:tblGrid>
      <w:tr w:rsidR="002C0B40" w:rsidRPr="002C0B40" w:rsidTr="00D10960">
        <w:trPr>
          <w:tblHeader/>
        </w:trPr>
        <w:tc>
          <w:tcPr>
            <w:tcW w:w="3539" w:type="dxa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Налоговый расход</w:t>
            </w:r>
          </w:p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Pr="002C0B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целевая категория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960" w:type="dxa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 (индикатор) достижения целей муниципальной программы и (или) целей социально-экономической политики муниципального образования</w:t>
            </w:r>
          </w:p>
        </w:tc>
        <w:tc>
          <w:tcPr>
            <w:tcW w:w="0" w:type="auto"/>
            <w:vAlign w:val="center"/>
          </w:tcPr>
          <w:p w:rsidR="002C0B40" w:rsidRPr="002C0B40" w:rsidRDefault="002C0B40" w:rsidP="00D109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Возможные подходы к расчету значения показателя (индикатора) без учета льготы</w:t>
            </w:r>
          </w:p>
        </w:tc>
      </w:tr>
      <w:tr w:rsidR="002C0B40" w:rsidRPr="002C0B40" w:rsidTr="00D10960">
        <w:tc>
          <w:tcPr>
            <w:tcW w:w="3539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Освобождение от уплаты земельного налога народных дружинников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Темп роста оборота розничной торговли (</w:t>
            </w:r>
            <w:r w:rsidRPr="002C0B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показателя  без</w:t>
            </w:r>
            <w:proofErr w:type="gramEnd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учета льготы (Т') определяется как значение темпа роста оборота розничной торговли по субъекту Российской Федерации за исключением объема оборота розничной торговли по муниципальному образованию.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0B40" w:rsidRPr="002C0B40" w:rsidTr="00D10960">
        <w:tc>
          <w:tcPr>
            <w:tcW w:w="3539" w:type="dxa"/>
          </w:tcPr>
          <w:p w:rsidR="002C0B40" w:rsidRPr="002C0B40" w:rsidDel="000D5C18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органам местного самоуправления и муниципальным учреждениям, финансируемым из бюджета муниципального образования </w:t>
            </w:r>
            <w:proofErr w:type="spellStart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Куркинский</w:t>
            </w:r>
            <w:proofErr w:type="spellEnd"/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район, в отношении земельных участков, предоставленных для непосредственного выполнения возложенных на эти организации и учреждения функции</w:t>
            </w:r>
          </w:p>
        </w:tc>
        <w:tc>
          <w:tcPr>
            <w:tcW w:w="2960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Объем расходов местного бюджета на финансовое обеспечение деятельности органов местного самоуправления и муниципальных казенных учреждений без учета доходов местного бюджета от использования имущества, находящегося в муниципальной собственности, а также от уплаты земельного налога в случае установления льготы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056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proofErr w:type="gramEnd"/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Δ=Р+Л-Д</m:t>
                </m:r>
              </m:oMath>
            </m:oMathPara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</w:t>
            </w:r>
            <w:r w:rsidRPr="002C0B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объем расходов местного бюджета на финансовое обеспечение </w:t>
            </w:r>
            <w:proofErr w:type="gramStart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 органов</w:t>
            </w:r>
            <w:proofErr w:type="gramEnd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самоуправления и муниципальных казенных учреждений при отсутствии льготы, 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объем выпадающих доходов в связи с предоставлением льготы, 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доходы местного бюджета от использования имущества, находящегося в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собственности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136579,3+ 1743,6 - 9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266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0B40" w:rsidRPr="002C0B40" w:rsidTr="00D10960">
        <w:tc>
          <w:tcPr>
            <w:tcW w:w="3539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Освобождение от земельного налога 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граждан, в отношении земельных участков предоставленных в соответствии </w:t>
            </w:r>
            <w:r w:rsidRPr="002C0B40">
              <w:rPr>
                <w:rFonts w:ascii="Times New Roman" w:hAnsi="Times New Roman" w:cs="Times New Roman"/>
                <w:bCs/>
                <w:sz w:val="28"/>
                <w:szCs w:val="28"/>
              </w:rPr>
              <w:t>с Законом Тульской области от 21 декабря 2011 года № 1708-ЗТО «О бесплатном предоставлении земельных участков в собственность гражданам, имеющим трех и более детей»</w:t>
            </w: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C0B4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Законом Тульской области от 26.10. 2015г. № 2362-ЗТО «</w:t>
            </w:r>
            <w:r w:rsidRPr="002C0B40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960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Доля численности граждан, относящихся к категории инвалидов, осуществляющих трудовую деятельность, в общей численности граждан, относящихся к категории инвалидов, (в трудоспособном возрасте) зарегистрированных на территории муниципального образования (</w:t>
            </w:r>
            <w:r w:rsidRPr="002C0B4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29,76%</w:t>
            </w: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'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n-5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n-1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И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тр</m:t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n-5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n-1</m:t>
                        </m:r>
                      </m:sup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И</m:t>
                        </m:r>
                      </m:e>
                    </m:nary>
                  </m:den>
                </m:f>
              </m:oMath>
            </m:oMathPara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где </w:t>
            </w:r>
            <w:r w:rsidRPr="002C0B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коэффициент, характеризующий трудоустройство граждан, относящихся к категории инвалидов за 5 лет, предшествующих году начала применения льготы, </w:t>
            </w:r>
            <w:proofErr w:type="spellStart"/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тр</w:t>
            </w:r>
            <w:proofErr w:type="spellEnd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численность граждан, относящихся к категории инвалидов, осуществляющих трудовую деятельность, 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общая численность граждан, относящихся к категории инвалидов, (в трудоспособном возрасте), 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первый год, предшествующий году начала предоставления льготы, …,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2C0B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-5 </w:t>
            </w: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– пятый год, предшествующий году начала предоставления льготы</w:t>
            </w:r>
          </w:p>
        </w:tc>
      </w:tr>
      <w:tr w:rsidR="002C0B40" w:rsidRPr="002C0B40" w:rsidTr="00D10960">
        <w:tc>
          <w:tcPr>
            <w:tcW w:w="3539" w:type="dxa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lastRenderedPageBreak/>
              <w:t>Снижение с 2 до 1 процента в отношении объектов налогообложения, включенных в перечень, определяемый в соответствии с </w:t>
            </w:r>
            <w:hyperlink r:id="rId14" w:anchor="dst9219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5" w:anchor="dst13986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960" w:type="dxa"/>
          </w:tcPr>
          <w:p w:rsidR="002C0B40" w:rsidRPr="002C0B40" w:rsidRDefault="002C0B40" w:rsidP="00D10960">
            <w:pPr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объектов включенных в перечень, </w:t>
            </w:r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определяемый в соответствии с </w:t>
            </w:r>
            <w:hyperlink r:id="rId16" w:anchor="dst9219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 xml:space="preserve"> Налогового Кодекса, в отношении объектов налогообложения, предусмотренных </w:t>
            </w:r>
            <w:hyperlink r:id="rId17" w:anchor="dst13986" w:history="1">
              <w:r w:rsidRPr="002C0B40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 Налогового Кодекса, а также в отношении объектов налогообложения, кадастровая стоимость каждого из которых превышает 300 миллионов рублей к общему числу объектов налогообложения</w:t>
            </w:r>
          </w:p>
          <w:p w:rsidR="002C0B40" w:rsidRPr="002C0B40" w:rsidRDefault="002C0B40" w:rsidP="00D10960">
            <w:pPr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  <w:r w:rsidRPr="002C0B40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1,047%</w:t>
            </w:r>
          </w:p>
          <w:p w:rsidR="002C0B40" w:rsidRPr="002C0B40" w:rsidRDefault="002C0B40" w:rsidP="00D10960">
            <w:pPr>
              <w:jc w:val="both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 / </w:t>
            </w:r>
            <w:proofErr w:type="spellStart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  <w:proofErr w:type="spellEnd"/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х100%</w:t>
            </w:r>
          </w:p>
          <w:p w:rsidR="002C0B40" w:rsidRPr="002C0B40" w:rsidRDefault="002C0B40" w:rsidP="00D1096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0B40">
              <w:rPr>
                <w:rFonts w:ascii="Times New Roman" w:eastAsia="Calibri" w:hAnsi="Times New Roman" w:cs="Times New Roman"/>
                <w:sz w:val="28"/>
                <w:szCs w:val="28"/>
              </w:rPr>
              <w:t>74/7066 х 100%</w:t>
            </w:r>
          </w:p>
        </w:tc>
      </w:tr>
    </w:tbl>
    <w:p w:rsidR="002C0B40" w:rsidRPr="002C0B40" w:rsidRDefault="002C0B40" w:rsidP="002C0B40">
      <w:pPr>
        <w:pStyle w:val="a6"/>
        <w:numPr>
          <w:ilvl w:val="2"/>
          <w:numId w:val="6"/>
        </w:numPr>
        <w:spacing w:before="120"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>Оценка бюджетной эффективности налоговых расходов муниципального образования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налоговых расходов муниципального образования рабочий поселок Куркино </w:t>
      </w:r>
      <w:proofErr w:type="spellStart"/>
      <w:r w:rsidRPr="002C0B4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Pr="002C0B40">
        <w:rPr>
          <w:rFonts w:ascii="Times New Roman" w:hAnsi="Times New Roman" w:cs="Times New Roman"/>
          <w:sz w:val="28"/>
          <w:szCs w:val="28"/>
        </w:rPr>
        <w:t xml:space="preserve"> района включает оценку бюджетной эффективности налоговых расходов муниципального образования.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</w:t>
      </w:r>
      <w:r w:rsidRPr="002C0B40">
        <w:rPr>
          <w:rFonts w:ascii="Times New Roman" w:hAnsi="Times New Roman" w:cs="Times New Roman"/>
          <w:sz w:val="28"/>
          <w:szCs w:val="28"/>
        </w:rPr>
        <w:lastRenderedPageBreak/>
        <w:t>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объемов предоставленных льгот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 </w:t>
      </w:r>
    </w:p>
    <w:p w:rsidR="002C0B40" w:rsidRPr="002C0B40" w:rsidRDefault="002C0B40" w:rsidP="002C0B40">
      <w:pPr>
        <w:pStyle w:val="a6"/>
        <w:spacing w:before="120"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Альтернативный механизм достижения целей муниципальной программы не предусмотрен действующими на момент проведения оценки эффективности налогового расхода муниципальными правовыми актами, а   может рассматриваться как потенциальный инструмент регулирования, возможный к установлению на территории муниципального образования вместо льготы.</w:t>
      </w:r>
    </w:p>
    <w:p w:rsidR="002C0B40" w:rsidRPr="002C0B40" w:rsidRDefault="002C0B40" w:rsidP="002C0B40">
      <w:pPr>
        <w:pStyle w:val="a6"/>
        <w:numPr>
          <w:ilvl w:val="1"/>
          <w:numId w:val="6"/>
        </w:numPr>
        <w:spacing w:before="120" w:after="0" w:line="276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>. Итоги оценки налоговых расходов муниципальных образований</w:t>
      </w:r>
    </w:p>
    <w:p w:rsidR="002C0B40" w:rsidRPr="002C0B40" w:rsidRDefault="002C0B40" w:rsidP="002C0B40">
      <w:pPr>
        <w:pStyle w:val="a6"/>
        <w:spacing w:before="120" w:after="0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 xml:space="preserve">ВЫВОД: По результатам оценки эффективности налогового расхода муниципального </w:t>
      </w:r>
      <w:proofErr w:type="gramStart"/>
      <w:r w:rsidRPr="002C0B40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2C0B40">
        <w:rPr>
          <w:rFonts w:ascii="Times New Roman" w:hAnsi="Times New Roman" w:cs="Times New Roman"/>
          <w:sz w:val="28"/>
          <w:szCs w:val="28"/>
        </w:rPr>
        <w:t>Куркинский</w:t>
      </w:r>
      <w:proofErr w:type="spellEnd"/>
      <w:proofErr w:type="gramEnd"/>
      <w:r w:rsidRPr="002C0B40">
        <w:rPr>
          <w:rFonts w:ascii="Times New Roman" w:hAnsi="Times New Roman" w:cs="Times New Roman"/>
          <w:sz w:val="28"/>
          <w:szCs w:val="28"/>
        </w:rPr>
        <w:t xml:space="preserve"> район  целевые характеристики налогового расхода муниципального образования не препятствуют в достижении целей муниципальных программ. </w:t>
      </w:r>
    </w:p>
    <w:p w:rsidR="002C0B40" w:rsidRPr="002C0B40" w:rsidRDefault="002C0B40" w:rsidP="002C0B40">
      <w:pPr>
        <w:pStyle w:val="a6"/>
        <w:numPr>
          <w:ilvl w:val="0"/>
          <w:numId w:val="6"/>
        </w:numPr>
        <w:spacing w:before="120" w:after="0" w:line="276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40">
        <w:rPr>
          <w:rFonts w:ascii="Times New Roman" w:hAnsi="Times New Roman" w:cs="Times New Roman"/>
          <w:b/>
          <w:sz w:val="28"/>
          <w:szCs w:val="28"/>
        </w:rPr>
        <w:t xml:space="preserve">    Взаимодействие с налоговыми органами при оценке налоговых расходов муниципального образования</w:t>
      </w:r>
    </w:p>
    <w:p w:rsidR="002C0B40" w:rsidRPr="002C0B40" w:rsidRDefault="002C0B40" w:rsidP="002C0B40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40">
        <w:rPr>
          <w:rFonts w:ascii="Times New Roman" w:hAnsi="Times New Roman" w:cs="Times New Roman"/>
          <w:sz w:val="28"/>
          <w:szCs w:val="28"/>
        </w:rPr>
        <w:t>Взаимодействие муниципального образования и налогового органа при оценке налоговых расходов муниципальных образований осуществляется в рамках постановления Правительства Российской Федерации от 12 августа 2004 года № 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сборов».</w:t>
      </w:r>
    </w:p>
    <w:p w:rsidR="002C0B40" w:rsidRPr="00A35426" w:rsidRDefault="002C0B40" w:rsidP="002C0B4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отчету о налоговой базе и структуре начислений по местным налогам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2020 году (форма № 5-МН)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уточненной информации по показателям отчета 5-МН в разрезе категорий налогоплательщиков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, предоставленно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УФНС России по Тульской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24.08.2021г. № 14-25/065247</w:t>
      </w:r>
      <w:r w:rsidRPr="00F3419F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, не воспользовались льготой по имущественным налогам следующие категории налогоплательщиков- физических лиц:</w:t>
      </w:r>
    </w:p>
    <w:p w:rsidR="002C0B40" w:rsidRPr="00A35426" w:rsidRDefault="002C0B40" w:rsidP="002C0B4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color w:val="000000" w:themeColor="text1"/>
          <w:sz w:val="26"/>
          <w:szCs w:val="26"/>
        </w:rPr>
        <w:t>- Герои Советского Союза, Герои РФ, полные кавалеры ордена Славы;</w:t>
      </w:r>
    </w:p>
    <w:p w:rsidR="002C0B40" w:rsidRPr="00A35426" w:rsidRDefault="002C0B40" w:rsidP="002C0B4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получающие пенсию по случаю потери кормильца,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зарегистрированные на территории сельских округов;</w:t>
      </w:r>
    </w:p>
    <w:p w:rsidR="002C0B40" w:rsidRPr="00A35426" w:rsidRDefault="002C0B40" w:rsidP="002C0B4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являющиеся одинокими родителями, имеющими несовершеннолетних детей, зарегистрированные на территории сельских округов;</w:t>
      </w:r>
    </w:p>
    <w:p w:rsidR="002C0B40" w:rsidRPr="00A35426" w:rsidRDefault="002C0B40" w:rsidP="002C0B4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 Физические лица, являющиеся опекунами (попечителями) несовершеннолетних детей, зарегистрированные на территории сельских округов.</w:t>
      </w:r>
    </w:p>
    <w:p w:rsidR="002C0B40" w:rsidRPr="00A35426" w:rsidRDefault="002C0B40" w:rsidP="002C0B4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Предоставленные данным категориям налогоплательщиков в 2020 году налоговые льготы по имущественным налогам были не востребованы, и соответственно являются неэффективными.</w:t>
      </w:r>
    </w:p>
    <w:p w:rsidR="002C0B40" w:rsidRDefault="002C0B40" w:rsidP="002C0B40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Учитывая, что налоговые льготы, обуславливающие налоговые расходы,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способствуют снижению налогового бремени, </w:t>
      </w: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направлены на реализацию мер социальной поддержки населения,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повышение социальной защищенности граждан</w:t>
      </w:r>
      <w:r w:rsidRPr="00A354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предлагается сохранить их действие.</w:t>
      </w:r>
    </w:p>
    <w:p w:rsidR="002C0B40" w:rsidRDefault="002C0B40" w:rsidP="002C0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4D0">
        <w:rPr>
          <w:rFonts w:ascii="Times New Roman" w:hAnsi="Times New Roman" w:cs="Times New Roman"/>
          <w:sz w:val="26"/>
          <w:szCs w:val="26"/>
        </w:rPr>
        <w:t xml:space="preserve">С целью оценки результативности социальных налоговых расходов по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4B34D0">
        <w:rPr>
          <w:rFonts w:ascii="Times New Roman" w:hAnsi="Times New Roman" w:cs="Times New Roman"/>
          <w:sz w:val="26"/>
          <w:szCs w:val="26"/>
        </w:rPr>
        <w:t xml:space="preserve">категориям налогоплательщиков-юридических лиц, обеспечивающих создание оптимальных условий жизни каждого человека и его здоровья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4B34D0">
        <w:rPr>
          <w:rFonts w:ascii="Times New Roman" w:hAnsi="Times New Roman" w:cs="Times New Roman"/>
          <w:sz w:val="26"/>
          <w:szCs w:val="26"/>
        </w:rPr>
        <w:t>, в том числе бюджетной эффективности налогового расхода,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2C0B40" w:rsidRDefault="002C0B40" w:rsidP="002C0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4D0">
        <w:rPr>
          <w:rFonts w:ascii="Times New Roman" w:hAnsi="Times New Roman" w:cs="Times New Roman"/>
          <w:bCs/>
          <w:sz w:val="26"/>
          <w:szCs w:val="26"/>
        </w:rPr>
        <w:t>Принимая во внимание, что статьей 16 Федерального закона от 06.10.2003 № 131-ФЗ «Об общих принципах организации местного самоуправления в Российской Федерации» к</w:t>
      </w:r>
      <w:r w:rsidRPr="004B34D0">
        <w:rPr>
          <w:rFonts w:ascii="Times New Roman" w:hAnsi="Times New Roman" w:cs="Times New Roman"/>
          <w:sz w:val="26"/>
          <w:szCs w:val="26"/>
        </w:rPr>
        <w:t xml:space="preserve"> вопросам местного значения городского округа отнесены, в том числе вопросы по созданию условий для массового отдыха жителей муниципального,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организация обустройства мест массового отдыха населения, организации мероприятий по охране окружающей среды в границах муниципального, городского округа, по созданию условий для развития сельскохозяйственного производства, расширения рынка сельскохозяйственной продукции, сырья и продовольствия,</w:t>
      </w:r>
      <w:r w:rsidRPr="00BD75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5FA">
        <w:rPr>
          <w:rFonts w:ascii="Times New Roman" w:hAnsi="Times New Roman" w:cs="Times New Roman"/>
          <w:bCs/>
          <w:sz w:val="26"/>
          <w:szCs w:val="26"/>
        </w:rPr>
        <w:t>оказани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BD75FA">
        <w:rPr>
          <w:rFonts w:ascii="Times New Roman" w:hAnsi="Times New Roman" w:cs="Times New Roman"/>
          <w:bCs/>
          <w:sz w:val="26"/>
          <w:szCs w:val="26"/>
        </w:rPr>
        <w:t xml:space="preserve"> поддержки социально ориентированным некоммерческим организациям,</w:t>
      </w:r>
      <w:r>
        <w:rPr>
          <w:rFonts w:ascii="Times New Roman" w:hAnsi="Times New Roman" w:cs="Times New Roman"/>
          <w:sz w:val="26"/>
          <w:szCs w:val="26"/>
        </w:rPr>
        <w:t xml:space="preserve"> результативность налогового расхода </w:t>
      </w:r>
      <w:r w:rsidRPr="004B34D0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3-м</w:t>
      </w:r>
      <w:r w:rsidRPr="004B34D0">
        <w:rPr>
          <w:rFonts w:ascii="Times New Roman" w:hAnsi="Times New Roman" w:cs="Times New Roman"/>
          <w:sz w:val="26"/>
          <w:szCs w:val="26"/>
        </w:rPr>
        <w:t xml:space="preserve"> категориям налогоплательщиков-юридических лиц, обеспечивающих создание оптимальных условий жизни каждого человека и его здоровья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proofErr w:type="spellStart"/>
      <w:r w:rsidR="00CB4B1C">
        <w:rPr>
          <w:rFonts w:ascii="Times New Roman" w:hAnsi="Times New Roman" w:cs="Times New Roman"/>
          <w:sz w:val="26"/>
          <w:szCs w:val="26"/>
        </w:rPr>
        <w:t>Куркинский</w:t>
      </w:r>
      <w:proofErr w:type="spellEnd"/>
      <w:r w:rsidR="00CB4B1C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, определяется через </w:t>
      </w:r>
      <w:r w:rsidRPr="004B34D0">
        <w:rPr>
          <w:rFonts w:ascii="Times New Roman" w:hAnsi="Times New Roman" w:cs="Times New Roman"/>
          <w:sz w:val="26"/>
          <w:szCs w:val="26"/>
        </w:rPr>
        <w:t>бюджетн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4B34D0">
        <w:rPr>
          <w:rFonts w:ascii="Times New Roman" w:hAnsi="Times New Roman" w:cs="Times New Roman"/>
          <w:sz w:val="26"/>
          <w:szCs w:val="26"/>
        </w:rPr>
        <w:t xml:space="preserve"> эффективност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B34D0">
        <w:rPr>
          <w:rFonts w:ascii="Times New Roman" w:hAnsi="Times New Roman" w:cs="Times New Roman"/>
          <w:sz w:val="26"/>
          <w:szCs w:val="26"/>
        </w:rPr>
        <w:t xml:space="preserve"> социальных налоговых расходов</w:t>
      </w:r>
      <w:r>
        <w:rPr>
          <w:rFonts w:ascii="Times New Roman" w:hAnsi="Times New Roman" w:cs="Times New Roman"/>
          <w:sz w:val="26"/>
          <w:szCs w:val="26"/>
        </w:rPr>
        <w:t xml:space="preserve"> и выражена экономией средств бюджета муниципального образования </w:t>
      </w:r>
      <w:proofErr w:type="spellStart"/>
      <w:r w:rsidR="00CB4B1C">
        <w:rPr>
          <w:rFonts w:ascii="Times New Roman" w:hAnsi="Times New Roman" w:cs="Times New Roman"/>
          <w:sz w:val="26"/>
          <w:szCs w:val="26"/>
        </w:rPr>
        <w:t>Куркинский</w:t>
      </w:r>
      <w:proofErr w:type="spellEnd"/>
      <w:r w:rsidR="00CB4B1C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 xml:space="preserve"> на самостоятельное решение муниципалитетом данных вопросов местного значения. </w:t>
      </w:r>
    </w:p>
    <w:p w:rsidR="002C0B40" w:rsidRDefault="002C0B40" w:rsidP="002C0B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0B40" w:rsidRPr="00CB4B1C" w:rsidRDefault="002C0B40" w:rsidP="002C0B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4B1C">
        <w:rPr>
          <w:rFonts w:ascii="Times New Roman" w:hAnsi="Times New Roman" w:cs="Times New Roman"/>
          <w:b/>
          <w:i/>
          <w:sz w:val="28"/>
          <w:szCs w:val="28"/>
        </w:rPr>
        <w:t xml:space="preserve">Вывод: поскольку социальные налоговые расходы носят социальный характер, 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 муниципального образования </w:t>
      </w:r>
      <w:proofErr w:type="spellStart"/>
      <w:r w:rsidR="00CB4B1C" w:rsidRPr="00CB4B1C">
        <w:rPr>
          <w:rFonts w:ascii="Times New Roman" w:hAnsi="Times New Roman" w:cs="Times New Roman"/>
          <w:b/>
          <w:i/>
          <w:sz w:val="28"/>
          <w:szCs w:val="28"/>
        </w:rPr>
        <w:t>Куркинский</w:t>
      </w:r>
      <w:proofErr w:type="spellEnd"/>
      <w:r w:rsidR="00CB4B1C" w:rsidRPr="00CB4B1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Pr="00CB4B1C">
        <w:rPr>
          <w:rFonts w:ascii="Times New Roman" w:hAnsi="Times New Roman" w:cs="Times New Roman"/>
          <w:b/>
          <w:i/>
          <w:sz w:val="28"/>
          <w:szCs w:val="28"/>
        </w:rPr>
        <w:t xml:space="preserve"> по повышению уровня и качества жизни отдельных категорий граждан, а также вопросов местного значения по созданию оптимальных условий жизни каждого человека и его здоровья на территории муниципального образования </w:t>
      </w:r>
      <w:proofErr w:type="spellStart"/>
      <w:r w:rsidR="00CB4B1C" w:rsidRPr="00CB4B1C">
        <w:rPr>
          <w:rFonts w:ascii="Times New Roman" w:hAnsi="Times New Roman" w:cs="Times New Roman"/>
          <w:b/>
          <w:i/>
          <w:sz w:val="28"/>
          <w:szCs w:val="28"/>
        </w:rPr>
        <w:t>Куркинский</w:t>
      </w:r>
      <w:proofErr w:type="spellEnd"/>
      <w:r w:rsidR="00CB4B1C" w:rsidRPr="00CB4B1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Pr="00CB4B1C">
        <w:rPr>
          <w:rFonts w:ascii="Times New Roman" w:hAnsi="Times New Roman" w:cs="Times New Roman"/>
          <w:b/>
          <w:i/>
          <w:sz w:val="28"/>
          <w:szCs w:val="28"/>
        </w:rPr>
        <w:t>, не оказывают отрицательного влияния на экономическое развитие муниципального образования</w:t>
      </w:r>
      <w:r w:rsidR="00CB4B1C" w:rsidRPr="00CB4B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B4B1C" w:rsidRPr="00CB4B1C">
        <w:rPr>
          <w:rFonts w:ascii="Times New Roman" w:hAnsi="Times New Roman" w:cs="Times New Roman"/>
          <w:b/>
          <w:i/>
          <w:sz w:val="28"/>
          <w:szCs w:val="28"/>
        </w:rPr>
        <w:t>Куркинский</w:t>
      </w:r>
      <w:proofErr w:type="spellEnd"/>
      <w:r w:rsidR="00CB4B1C" w:rsidRPr="00CB4B1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Pr="00CB4B1C">
        <w:rPr>
          <w:rFonts w:ascii="Times New Roman" w:hAnsi="Times New Roman" w:cs="Times New Roman"/>
          <w:b/>
          <w:i/>
          <w:sz w:val="28"/>
          <w:szCs w:val="28"/>
        </w:rPr>
        <w:t>, данные социальные налоговые расходы являются востребованными, целесообразными и результативными, их действие в 2020 году признано эффективным и не требует отмены.</w:t>
      </w:r>
    </w:p>
    <w:p w:rsidR="002C0B40" w:rsidRPr="00CB4B1C" w:rsidRDefault="002C0B40" w:rsidP="002C0B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0B40" w:rsidRPr="00CB4B1C" w:rsidRDefault="002C0B40" w:rsidP="002C0B40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0B40" w:rsidRPr="00CB4B1C" w:rsidRDefault="002C0B40" w:rsidP="002C0B40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0B40" w:rsidRPr="0052029E" w:rsidRDefault="002C0B40" w:rsidP="002C0B40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1D6C" w:rsidRPr="002C0B40" w:rsidRDefault="00461D6C" w:rsidP="007E13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61D6C" w:rsidRPr="002C0B40" w:rsidSect="00196869">
      <w:headerReference w:type="default" r:id="rId1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85" w:rsidRDefault="00BA3B85" w:rsidP="006C7C59">
      <w:pPr>
        <w:spacing w:after="0" w:line="240" w:lineRule="auto"/>
      </w:pPr>
      <w:r>
        <w:separator/>
      </w:r>
    </w:p>
  </w:endnote>
  <w:endnote w:type="continuationSeparator" w:id="0">
    <w:p w:rsidR="00BA3B85" w:rsidRDefault="00BA3B85" w:rsidP="006C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85" w:rsidRDefault="00BA3B85" w:rsidP="006C7C59">
      <w:pPr>
        <w:spacing w:after="0" w:line="240" w:lineRule="auto"/>
      </w:pPr>
      <w:r>
        <w:separator/>
      </w:r>
    </w:p>
  </w:footnote>
  <w:footnote w:type="continuationSeparator" w:id="0">
    <w:p w:rsidR="00BA3B85" w:rsidRDefault="00BA3B85" w:rsidP="006C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436389"/>
      <w:docPartObj>
        <w:docPartGallery w:val="Page Numbers (Top of Page)"/>
        <w:docPartUnique/>
      </w:docPartObj>
    </w:sdtPr>
    <w:sdtEndPr/>
    <w:sdtContent>
      <w:p w:rsidR="007379FD" w:rsidRDefault="007379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B37">
          <w:rPr>
            <w:noProof/>
          </w:rPr>
          <w:t>16</w:t>
        </w:r>
        <w:r>
          <w:fldChar w:fldCharType="end"/>
        </w:r>
      </w:p>
    </w:sdtContent>
  </w:sdt>
  <w:p w:rsidR="007379FD" w:rsidRDefault="007379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E953DA"/>
    <w:multiLevelType w:val="multilevel"/>
    <w:tmpl w:val="D8B4E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DF3E21"/>
    <w:multiLevelType w:val="multilevel"/>
    <w:tmpl w:val="D420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46A6991"/>
    <w:multiLevelType w:val="hybridMultilevel"/>
    <w:tmpl w:val="7C3A597C"/>
    <w:lvl w:ilvl="0" w:tplc="8AFC69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1466"/>
    <w:multiLevelType w:val="hybridMultilevel"/>
    <w:tmpl w:val="69AC8D02"/>
    <w:lvl w:ilvl="0" w:tplc="075EF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3751C"/>
    <w:multiLevelType w:val="multilevel"/>
    <w:tmpl w:val="05AA8F7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ED"/>
    <w:rsid w:val="0000180F"/>
    <w:rsid w:val="00005706"/>
    <w:rsid w:val="00015225"/>
    <w:rsid w:val="00025217"/>
    <w:rsid w:val="00033522"/>
    <w:rsid w:val="000515A2"/>
    <w:rsid w:val="000615DF"/>
    <w:rsid w:val="00070569"/>
    <w:rsid w:val="0008536C"/>
    <w:rsid w:val="00086B37"/>
    <w:rsid w:val="00097124"/>
    <w:rsid w:val="000A27D6"/>
    <w:rsid w:val="000E19E5"/>
    <w:rsid w:val="000E35EF"/>
    <w:rsid w:val="000E52D6"/>
    <w:rsid w:val="000E5508"/>
    <w:rsid w:val="000F7FBC"/>
    <w:rsid w:val="00100BC1"/>
    <w:rsid w:val="0010390F"/>
    <w:rsid w:val="00107B14"/>
    <w:rsid w:val="00113BD8"/>
    <w:rsid w:val="001172DD"/>
    <w:rsid w:val="0014231D"/>
    <w:rsid w:val="0014433A"/>
    <w:rsid w:val="00146193"/>
    <w:rsid w:val="00161E70"/>
    <w:rsid w:val="001649B7"/>
    <w:rsid w:val="001655AE"/>
    <w:rsid w:val="00172DB6"/>
    <w:rsid w:val="00195E3D"/>
    <w:rsid w:val="00196869"/>
    <w:rsid w:val="001A2A28"/>
    <w:rsid w:val="001A6D2A"/>
    <w:rsid w:val="001C3059"/>
    <w:rsid w:val="001C739A"/>
    <w:rsid w:val="001D0154"/>
    <w:rsid w:val="001D3DC1"/>
    <w:rsid w:val="001E6C3B"/>
    <w:rsid w:val="001F43DF"/>
    <w:rsid w:val="00206361"/>
    <w:rsid w:val="00207619"/>
    <w:rsid w:val="00222139"/>
    <w:rsid w:val="00245253"/>
    <w:rsid w:val="00246919"/>
    <w:rsid w:val="002502F8"/>
    <w:rsid w:val="00252726"/>
    <w:rsid w:val="0025576F"/>
    <w:rsid w:val="00255ADA"/>
    <w:rsid w:val="00257A9E"/>
    <w:rsid w:val="00261313"/>
    <w:rsid w:val="0026194B"/>
    <w:rsid w:val="00264440"/>
    <w:rsid w:val="00265588"/>
    <w:rsid w:val="002801AD"/>
    <w:rsid w:val="00283173"/>
    <w:rsid w:val="00283959"/>
    <w:rsid w:val="002878B4"/>
    <w:rsid w:val="0029191F"/>
    <w:rsid w:val="00291C36"/>
    <w:rsid w:val="002A60FF"/>
    <w:rsid w:val="002B5BBB"/>
    <w:rsid w:val="002C0B40"/>
    <w:rsid w:val="002C18D2"/>
    <w:rsid w:val="002D7023"/>
    <w:rsid w:val="002E165F"/>
    <w:rsid w:val="002E254F"/>
    <w:rsid w:val="002E31DE"/>
    <w:rsid w:val="002E6D7C"/>
    <w:rsid w:val="002F034F"/>
    <w:rsid w:val="002F056C"/>
    <w:rsid w:val="002F48DB"/>
    <w:rsid w:val="003014E5"/>
    <w:rsid w:val="00313CF4"/>
    <w:rsid w:val="0032083E"/>
    <w:rsid w:val="00340819"/>
    <w:rsid w:val="003436A8"/>
    <w:rsid w:val="00346734"/>
    <w:rsid w:val="00357E1A"/>
    <w:rsid w:val="003704C0"/>
    <w:rsid w:val="00370B04"/>
    <w:rsid w:val="003741A6"/>
    <w:rsid w:val="003874E3"/>
    <w:rsid w:val="003A0056"/>
    <w:rsid w:val="003A3F14"/>
    <w:rsid w:val="003B25BB"/>
    <w:rsid w:val="003C75B3"/>
    <w:rsid w:val="003E0C0B"/>
    <w:rsid w:val="003E15A7"/>
    <w:rsid w:val="003E1EB1"/>
    <w:rsid w:val="003E54B3"/>
    <w:rsid w:val="003E5AFA"/>
    <w:rsid w:val="003E77CB"/>
    <w:rsid w:val="003F0DF3"/>
    <w:rsid w:val="00400680"/>
    <w:rsid w:val="00405179"/>
    <w:rsid w:val="00412008"/>
    <w:rsid w:val="00413622"/>
    <w:rsid w:val="00415695"/>
    <w:rsid w:val="00420DC4"/>
    <w:rsid w:val="00440131"/>
    <w:rsid w:val="004453F1"/>
    <w:rsid w:val="00452911"/>
    <w:rsid w:val="004541AC"/>
    <w:rsid w:val="00461B49"/>
    <w:rsid w:val="00461D6C"/>
    <w:rsid w:val="00464206"/>
    <w:rsid w:val="004831DE"/>
    <w:rsid w:val="004849CF"/>
    <w:rsid w:val="00491F6D"/>
    <w:rsid w:val="004926D2"/>
    <w:rsid w:val="0049685A"/>
    <w:rsid w:val="00496949"/>
    <w:rsid w:val="004A1C2A"/>
    <w:rsid w:val="004A5509"/>
    <w:rsid w:val="004B34D0"/>
    <w:rsid w:val="004C1967"/>
    <w:rsid w:val="004C4017"/>
    <w:rsid w:val="004D40FB"/>
    <w:rsid w:val="004D486E"/>
    <w:rsid w:val="004E02B1"/>
    <w:rsid w:val="004F705F"/>
    <w:rsid w:val="005104E5"/>
    <w:rsid w:val="0052029E"/>
    <w:rsid w:val="005209CB"/>
    <w:rsid w:val="00521225"/>
    <w:rsid w:val="00521432"/>
    <w:rsid w:val="005221BD"/>
    <w:rsid w:val="00530BAC"/>
    <w:rsid w:val="00533601"/>
    <w:rsid w:val="00543420"/>
    <w:rsid w:val="005505E6"/>
    <w:rsid w:val="0055785C"/>
    <w:rsid w:val="005601C6"/>
    <w:rsid w:val="0056616F"/>
    <w:rsid w:val="00570761"/>
    <w:rsid w:val="005709AC"/>
    <w:rsid w:val="00584B16"/>
    <w:rsid w:val="005A78FB"/>
    <w:rsid w:val="005B1D73"/>
    <w:rsid w:val="005B7B4A"/>
    <w:rsid w:val="005C31F2"/>
    <w:rsid w:val="005C6E76"/>
    <w:rsid w:val="005C7282"/>
    <w:rsid w:val="005C7F6F"/>
    <w:rsid w:val="005D553C"/>
    <w:rsid w:val="005D6F58"/>
    <w:rsid w:val="005E2A81"/>
    <w:rsid w:val="005E3E90"/>
    <w:rsid w:val="005E7D61"/>
    <w:rsid w:val="005F025A"/>
    <w:rsid w:val="005F49E5"/>
    <w:rsid w:val="005F4F68"/>
    <w:rsid w:val="005F68EF"/>
    <w:rsid w:val="00605267"/>
    <w:rsid w:val="0061110C"/>
    <w:rsid w:val="00611E88"/>
    <w:rsid w:val="00615D9B"/>
    <w:rsid w:val="0061717D"/>
    <w:rsid w:val="00630E1E"/>
    <w:rsid w:val="00656320"/>
    <w:rsid w:val="00657935"/>
    <w:rsid w:val="00661E1A"/>
    <w:rsid w:val="006772A1"/>
    <w:rsid w:val="00684057"/>
    <w:rsid w:val="006928B9"/>
    <w:rsid w:val="00694843"/>
    <w:rsid w:val="00695B46"/>
    <w:rsid w:val="006A6BC8"/>
    <w:rsid w:val="006B4A39"/>
    <w:rsid w:val="006B6545"/>
    <w:rsid w:val="006B7DEB"/>
    <w:rsid w:val="006C10F4"/>
    <w:rsid w:val="006C12D9"/>
    <w:rsid w:val="006C2D3E"/>
    <w:rsid w:val="006C4399"/>
    <w:rsid w:val="006C5C2D"/>
    <w:rsid w:val="006C7C59"/>
    <w:rsid w:val="006D5E40"/>
    <w:rsid w:val="006D7D40"/>
    <w:rsid w:val="006E0B49"/>
    <w:rsid w:val="006E10F1"/>
    <w:rsid w:val="006E354E"/>
    <w:rsid w:val="00704E24"/>
    <w:rsid w:val="0071283B"/>
    <w:rsid w:val="00713FF0"/>
    <w:rsid w:val="0071731D"/>
    <w:rsid w:val="007276E4"/>
    <w:rsid w:val="00730896"/>
    <w:rsid w:val="007379FD"/>
    <w:rsid w:val="007469AC"/>
    <w:rsid w:val="00751B6B"/>
    <w:rsid w:val="00754CA8"/>
    <w:rsid w:val="0079430A"/>
    <w:rsid w:val="007B17C5"/>
    <w:rsid w:val="007C6FBD"/>
    <w:rsid w:val="007D42DD"/>
    <w:rsid w:val="007E0756"/>
    <w:rsid w:val="007E0E43"/>
    <w:rsid w:val="007E13F9"/>
    <w:rsid w:val="00800217"/>
    <w:rsid w:val="008003A2"/>
    <w:rsid w:val="0080217F"/>
    <w:rsid w:val="00815192"/>
    <w:rsid w:val="00817BA0"/>
    <w:rsid w:val="008249C6"/>
    <w:rsid w:val="00831C73"/>
    <w:rsid w:val="00842F3C"/>
    <w:rsid w:val="0084406F"/>
    <w:rsid w:val="00852C8C"/>
    <w:rsid w:val="00862653"/>
    <w:rsid w:val="00863C2A"/>
    <w:rsid w:val="00877A93"/>
    <w:rsid w:val="00883E82"/>
    <w:rsid w:val="00891A0A"/>
    <w:rsid w:val="008927B2"/>
    <w:rsid w:val="008953BE"/>
    <w:rsid w:val="008960CB"/>
    <w:rsid w:val="008971BE"/>
    <w:rsid w:val="008A0AD3"/>
    <w:rsid w:val="008A10B2"/>
    <w:rsid w:val="008A5E09"/>
    <w:rsid w:val="008B31C3"/>
    <w:rsid w:val="008B3C7B"/>
    <w:rsid w:val="008D07DD"/>
    <w:rsid w:val="008D2760"/>
    <w:rsid w:val="008D66B4"/>
    <w:rsid w:val="008E6265"/>
    <w:rsid w:val="008F4228"/>
    <w:rsid w:val="00910F2A"/>
    <w:rsid w:val="009136DA"/>
    <w:rsid w:val="00920EED"/>
    <w:rsid w:val="009227F8"/>
    <w:rsid w:val="00925173"/>
    <w:rsid w:val="0093699D"/>
    <w:rsid w:val="00947A2E"/>
    <w:rsid w:val="00954069"/>
    <w:rsid w:val="0095463C"/>
    <w:rsid w:val="00954AE5"/>
    <w:rsid w:val="00960763"/>
    <w:rsid w:val="00960811"/>
    <w:rsid w:val="00960C53"/>
    <w:rsid w:val="00964560"/>
    <w:rsid w:val="00966887"/>
    <w:rsid w:val="00972355"/>
    <w:rsid w:val="00991987"/>
    <w:rsid w:val="009A1BC2"/>
    <w:rsid w:val="009A20B6"/>
    <w:rsid w:val="009B0840"/>
    <w:rsid w:val="009B689D"/>
    <w:rsid w:val="009C260A"/>
    <w:rsid w:val="009C6303"/>
    <w:rsid w:val="009D35D5"/>
    <w:rsid w:val="009D5C9E"/>
    <w:rsid w:val="009D7980"/>
    <w:rsid w:val="009E03BA"/>
    <w:rsid w:val="009E4466"/>
    <w:rsid w:val="009E5540"/>
    <w:rsid w:val="00A01794"/>
    <w:rsid w:val="00A020D6"/>
    <w:rsid w:val="00A0784E"/>
    <w:rsid w:val="00A13440"/>
    <w:rsid w:val="00A21AAB"/>
    <w:rsid w:val="00A31423"/>
    <w:rsid w:val="00A35426"/>
    <w:rsid w:val="00A4016E"/>
    <w:rsid w:val="00A41EBE"/>
    <w:rsid w:val="00A4230F"/>
    <w:rsid w:val="00A61F6D"/>
    <w:rsid w:val="00A72C9B"/>
    <w:rsid w:val="00A81852"/>
    <w:rsid w:val="00A84CA1"/>
    <w:rsid w:val="00AA1805"/>
    <w:rsid w:val="00AA756F"/>
    <w:rsid w:val="00AB14E6"/>
    <w:rsid w:val="00AB2C35"/>
    <w:rsid w:val="00AD0C20"/>
    <w:rsid w:val="00AD723D"/>
    <w:rsid w:val="00AE06CD"/>
    <w:rsid w:val="00AE5B5E"/>
    <w:rsid w:val="00AE7068"/>
    <w:rsid w:val="00AF4397"/>
    <w:rsid w:val="00B06940"/>
    <w:rsid w:val="00B11EF9"/>
    <w:rsid w:val="00B170E9"/>
    <w:rsid w:val="00B25B82"/>
    <w:rsid w:val="00B26620"/>
    <w:rsid w:val="00B311F0"/>
    <w:rsid w:val="00B3669C"/>
    <w:rsid w:val="00B36839"/>
    <w:rsid w:val="00B36AC3"/>
    <w:rsid w:val="00B53F84"/>
    <w:rsid w:val="00B56C6C"/>
    <w:rsid w:val="00B6154A"/>
    <w:rsid w:val="00B66F56"/>
    <w:rsid w:val="00B71E35"/>
    <w:rsid w:val="00B75BA6"/>
    <w:rsid w:val="00B9397A"/>
    <w:rsid w:val="00B96E94"/>
    <w:rsid w:val="00BA3B85"/>
    <w:rsid w:val="00BA5C61"/>
    <w:rsid w:val="00BB19C1"/>
    <w:rsid w:val="00BC1801"/>
    <w:rsid w:val="00BD3A89"/>
    <w:rsid w:val="00BD75FA"/>
    <w:rsid w:val="00BD7970"/>
    <w:rsid w:val="00BE08C9"/>
    <w:rsid w:val="00BF0D07"/>
    <w:rsid w:val="00C11F11"/>
    <w:rsid w:val="00C126C6"/>
    <w:rsid w:val="00C12CA0"/>
    <w:rsid w:val="00C14A80"/>
    <w:rsid w:val="00C1605A"/>
    <w:rsid w:val="00C237EE"/>
    <w:rsid w:val="00C26811"/>
    <w:rsid w:val="00C27E07"/>
    <w:rsid w:val="00C31196"/>
    <w:rsid w:val="00C311D2"/>
    <w:rsid w:val="00C34AAF"/>
    <w:rsid w:val="00C36B2E"/>
    <w:rsid w:val="00C36F4F"/>
    <w:rsid w:val="00C37AE2"/>
    <w:rsid w:val="00C40614"/>
    <w:rsid w:val="00C566EC"/>
    <w:rsid w:val="00C6318C"/>
    <w:rsid w:val="00C6641A"/>
    <w:rsid w:val="00C75203"/>
    <w:rsid w:val="00C84EE3"/>
    <w:rsid w:val="00C93DDB"/>
    <w:rsid w:val="00C941AE"/>
    <w:rsid w:val="00C95532"/>
    <w:rsid w:val="00C95760"/>
    <w:rsid w:val="00CA114E"/>
    <w:rsid w:val="00CA45D6"/>
    <w:rsid w:val="00CB4B1C"/>
    <w:rsid w:val="00CB4D77"/>
    <w:rsid w:val="00CB5906"/>
    <w:rsid w:val="00CB7A85"/>
    <w:rsid w:val="00CC25B1"/>
    <w:rsid w:val="00CC52A1"/>
    <w:rsid w:val="00CD1F38"/>
    <w:rsid w:val="00CD3E64"/>
    <w:rsid w:val="00CD4339"/>
    <w:rsid w:val="00CD489A"/>
    <w:rsid w:val="00CD7EBF"/>
    <w:rsid w:val="00CE5AA5"/>
    <w:rsid w:val="00CF62C0"/>
    <w:rsid w:val="00D03B8A"/>
    <w:rsid w:val="00D10F74"/>
    <w:rsid w:val="00D126D6"/>
    <w:rsid w:val="00D14C29"/>
    <w:rsid w:val="00D15DF3"/>
    <w:rsid w:val="00D21D48"/>
    <w:rsid w:val="00D3113C"/>
    <w:rsid w:val="00D375AB"/>
    <w:rsid w:val="00D415AE"/>
    <w:rsid w:val="00D4333B"/>
    <w:rsid w:val="00D476C0"/>
    <w:rsid w:val="00D50397"/>
    <w:rsid w:val="00D513FE"/>
    <w:rsid w:val="00D67C59"/>
    <w:rsid w:val="00D67E0D"/>
    <w:rsid w:val="00D7715A"/>
    <w:rsid w:val="00D774AD"/>
    <w:rsid w:val="00D937CE"/>
    <w:rsid w:val="00DA127B"/>
    <w:rsid w:val="00DA1493"/>
    <w:rsid w:val="00DA1E69"/>
    <w:rsid w:val="00DB3415"/>
    <w:rsid w:val="00DB3C08"/>
    <w:rsid w:val="00DC42BF"/>
    <w:rsid w:val="00DE2E4F"/>
    <w:rsid w:val="00DF09F6"/>
    <w:rsid w:val="00DF6B8A"/>
    <w:rsid w:val="00E02B68"/>
    <w:rsid w:val="00E052BF"/>
    <w:rsid w:val="00E07565"/>
    <w:rsid w:val="00E15B00"/>
    <w:rsid w:val="00E16174"/>
    <w:rsid w:val="00E268E0"/>
    <w:rsid w:val="00E37DCB"/>
    <w:rsid w:val="00E6235C"/>
    <w:rsid w:val="00E675E3"/>
    <w:rsid w:val="00E7125E"/>
    <w:rsid w:val="00E80F2C"/>
    <w:rsid w:val="00E83984"/>
    <w:rsid w:val="00E84F09"/>
    <w:rsid w:val="00E858FD"/>
    <w:rsid w:val="00E86D7B"/>
    <w:rsid w:val="00E94D5F"/>
    <w:rsid w:val="00EA2C25"/>
    <w:rsid w:val="00EB1E92"/>
    <w:rsid w:val="00EC6A5A"/>
    <w:rsid w:val="00EC7A79"/>
    <w:rsid w:val="00ED3E20"/>
    <w:rsid w:val="00ED5EA7"/>
    <w:rsid w:val="00ED786B"/>
    <w:rsid w:val="00EE5047"/>
    <w:rsid w:val="00EF055B"/>
    <w:rsid w:val="00EF4D79"/>
    <w:rsid w:val="00EF7C5D"/>
    <w:rsid w:val="00EF7E33"/>
    <w:rsid w:val="00F03613"/>
    <w:rsid w:val="00F10D8B"/>
    <w:rsid w:val="00F149EB"/>
    <w:rsid w:val="00F2707F"/>
    <w:rsid w:val="00F3419F"/>
    <w:rsid w:val="00F6339E"/>
    <w:rsid w:val="00F70E08"/>
    <w:rsid w:val="00F76E31"/>
    <w:rsid w:val="00F819C2"/>
    <w:rsid w:val="00F84316"/>
    <w:rsid w:val="00F87FCF"/>
    <w:rsid w:val="00F91BBB"/>
    <w:rsid w:val="00F93E03"/>
    <w:rsid w:val="00F96565"/>
    <w:rsid w:val="00F9677A"/>
    <w:rsid w:val="00FD1739"/>
    <w:rsid w:val="00FE0471"/>
    <w:rsid w:val="00FE4288"/>
    <w:rsid w:val="00FF1EDE"/>
    <w:rsid w:val="00FF669D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C954"/>
  <w15:chartTrackingRefBased/>
  <w15:docId w15:val="{1E5BD8DF-6D5F-4277-A4B2-7E57CE9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ED"/>
    <w:pPr>
      <w:spacing w:line="25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2C0B40"/>
    <w:pPr>
      <w:keepNext/>
      <w:keepLines/>
      <w:spacing w:after="0" w:line="360" w:lineRule="auto"/>
      <w:ind w:firstLine="709"/>
      <w:jc w:val="both"/>
      <w:outlineLvl w:val="3"/>
    </w:pPr>
    <w:rPr>
      <w:rFonts w:ascii="Times New Roman" w:eastAsiaTheme="majorEastAsia" w:hAnsi="Times New Roman" w:cstheme="majorBidi"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0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5ADA"/>
    <w:pPr>
      <w:spacing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C59"/>
  </w:style>
  <w:style w:type="paragraph" w:styleId="a9">
    <w:name w:val="footer"/>
    <w:basedOn w:val="a"/>
    <w:link w:val="aa"/>
    <w:uiPriority w:val="99"/>
    <w:unhideWhenUsed/>
    <w:rsid w:val="006C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C59"/>
  </w:style>
  <w:style w:type="character" w:customStyle="1" w:styleId="msoheader0">
    <w:name w:val="msoheader"/>
    <w:basedOn w:val="a0"/>
    <w:rsid w:val="004F705F"/>
  </w:style>
  <w:style w:type="character" w:customStyle="1" w:styleId="40">
    <w:name w:val="Заголовок 4 Знак"/>
    <w:basedOn w:val="a0"/>
    <w:link w:val="4"/>
    <w:uiPriority w:val="9"/>
    <w:rsid w:val="002C0B40"/>
    <w:rPr>
      <w:rFonts w:ascii="Times New Roman" w:eastAsiaTheme="majorEastAsia" w:hAnsi="Times New Roman" w:cstheme="majorBidi"/>
      <w:bCs/>
      <w:iCs/>
      <w:sz w:val="28"/>
    </w:rPr>
  </w:style>
  <w:style w:type="table" w:customStyle="1" w:styleId="2">
    <w:name w:val="Сетка таблицы2"/>
    <w:basedOn w:val="a1"/>
    <w:next w:val="a3"/>
    <w:uiPriority w:val="39"/>
    <w:rsid w:val="002C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C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2C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2C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link w:val="PlainText"/>
    <w:rsid w:val="002C0B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lainText">
    <w:name w:val="Plain Text Знак"/>
    <w:link w:val="1"/>
    <w:rsid w:val="002C0B4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2C0B4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0B40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blk">
    <w:name w:val="blk"/>
    <w:basedOn w:val="a0"/>
    <w:rsid w:val="002C0B40"/>
  </w:style>
  <w:style w:type="character" w:styleId="ab">
    <w:name w:val="Hyperlink"/>
    <w:uiPriority w:val="99"/>
    <w:rsid w:val="002C0B40"/>
    <w:rPr>
      <w:color w:val="0000FF"/>
      <w:u w:val="single"/>
    </w:rPr>
  </w:style>
  <w:style w:type="paragraph" w:customStyle="1" w:styleId="22">
    <w:name w:val="Текст2"/>
    <w:basedOn w:val="a"/>
    <w:rsid w:val="002C0B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6593/f6758978b92339b7e996fde13e5104caec7531d2/" TargetMode="External"/><Relationship Id="rId13" Type="http://schemas.openxmlformats.org/officeDocument/2006/relationships/hyperlink" Target="http://www.consultant.ru/document/cons_doc_LAW_326593/f6758978b92339b7e996fde13e5104caec7531d2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6593/f6758978b92339b7e996fde13e5104caec7531d2/" TargetMode="External"/><Relationship Id="rId17" Type="http://schemas.openxmlformats.org/officeDocument/2006/relationships/hyperlink" Target="http://www.consultant.ru/document/cons_doc_LAW_326593/f6758978b92339b7e996fde13e5104caec7531d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6593/f6758978b92339b7e996fde13e5104caec7531d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6593/f6758978b92339b7e996fde13e5104caec7531d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6593/f6758978b92339b7e996fde13e5104caec7531d2/" TargetMode="External"/><Relationship Id="rId10" Type="http://schemas.openxmlformats.org/officeDocument/2006/relationships/hyperlink" Target="http://www.consultant.ru/document/cons_doc_LAW_326593/f6758978b92339b7e996fde13e5104caec7531d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593/f6758978b92339b7e996fde13e5104caec7531d2/" TargetMode="External"/><Relationship Id="rId14" Type="http://schemas.openxmlformats.org/officeDocument/2006/relationships/hyperlink" Target="http://www.consultant.ru/document/cons_doc_LAW_326593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DBDF-2416-45DB-A017-448DAD65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Лысикова Елена Алексеевна</dc:creator>
  <cp:keywords/>
  <dc:description/>
  <cp:lastModifiedBy>Пользователь Windows</cp:lastModifiedBy>
  <cp:revision>4</cp:revision>
  <cp:lastPrinted>2021-10-05T13:01:00Z</cp:lastPrinted>
  <dcterms:created xsi:type="dcterms:W3CDTF">2021-10-05T13:01:00Z</dcterms:created>
  <dcterms:modified xsi:type="dcterms:W3CDTF">2021-10-05T13:07:00Z</dcterms:modified>
</cp:coreProperties>
</file>