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D" w:rsidRPr="00FC5320" w:rsidRDefault="00D26B99" w:rsidP="006E739D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6E739D" w:rsidRPr="00FC5320"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6E739D" w:rsidRPr="00FC5320" w:rsidRDefault="006E739D" w:rsidP="006E739D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FC5320"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6E739D" w:rsidRPr="00FC5320" w:rsidRDefault="006E739D" w:rsidP="006E739D">
      <w:pPr>
        <w:keepNext/>
        <w:spacing w:line="276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FC5320"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6E739D" w:rsidRPr="00FC5320" w:rsidRDefault="006E739D" w:rsidP="006E739D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C5320">
        <w:rPr>
          <w:rFonts w:ascii="Times New Roman" w:hAnsi="Times New Roman"/>
          <w:b/>
          <w:sz w:val="26"/>
          <w:szCs w:val="26"/>
        </w:rPr>
        <w:t>4-го созыва</w:t>
      </w:r>
    </w:p>
    <w:p w:rsidR="006E739D" w:rsidRDefault="006E739D" w:rsidP="006E739D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C5320">
        <w:rPr>
          <w:rFonts w:ascii="Times New Roman" w:hAnsi="Times New Roman"/>
          <w:b/>
          <w:sz w:val="26"/>
          <w:szCs w:val="26"/>
        </w:rPr>
        <w:t>РЕШЕНИЕ</w:t>
      </w:r>
    </w:p>
    <w:p w:rsidR="0035302A" w:rsidRPr="00FC5320" w:rsidRDefault="0035302A" w:rsidP="006E739D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39D" w:rsidRPr="00FC5320" w:rsidRDefault="006E739D" w:rsidP="006E739D">
      <w:pPr>
        <w:rPr>
          <w:rFonts w:ascii="Times New Roman" w:hAnsi="Times New Roman"/>
          <w:b/>
          <w:sz w:val="26"/>
          <w:szCs w:val="26"/>
        </w:rPr>
      </w:pPr>
      <w:r w:rsidRPr="00FC5320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6E739D" w:rsidRDefault="006E739D" w:rsidP="006E73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92C36">
        <w:rPr>
          <w:rFonts w:ascii="Times New Roman" w:hAnsi="Times New Roman"/>
          <w:sz w:val="26"/>
          <w:szCs w:val="26"/>
        </w:rPr>
        <w:t>25.03.</w:t>
      </w:r>
      <w:r>
        <w:rPr>
          <w:rFonts w:ascii="Times New Roman" w:hAnsi="Times New Roman"/>
          <w:sz w:val="26"/>
          <w:szCs w:val="26"/>
        </w:rPr>
        <w:t xml:space="preserve">2016г.   № </w:t>
      </w:r>
      <w:r w:rsidR="00E92C36">
        <w:rPr>
          <w:rFonts w:ascii="Times New Roman" w:hAnsi="Times New Roman"/>
          <w:sz w:val="26"/>
          <w:szCs w:val="26"/>
        </w:rPr>
        <w:t>18-5</w:t>
      </w:r>
    </w:p>
    <w:p w:rsidR="0035302A" w:rsidRPr="00FC5320" w:rsidRDefault="0035302A" w:rsidP="006E739D">
      <w:pPr>
        <w:rPr>
          <w:rFonts w:ascii="Times New Roman" w:hAnsi="Times New Roman"/>
          <w:sz w:val="26"/>
          <w:szCs w:val="26"/>
        </w:rPr>
      </w:pPr>
    </w:p>
    <w:p w:rsidR="006E739D" w:rsidRPr="00FC5320" w:rsidRDefault="006E739D" w:rsidP="006E739D">
      <w:pPr>
        <w:rPr>
          <w:rFonts w:ascii="Times New Roman" w:hAnsi="Times New Roman"/>
          <w:sz w:val="28"/>
          <w:szCs w:val="28"/>
        </w:rPr>
      </w:pPr>
    </w:p>
    <w:p w:rsidR="006E739D" w:rsidRDefault="006E739D" w:rsidP="006E739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C532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FC53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отчета о деятельности </w:t>
      </w:r>
    </w:p>
    <w:p w:rsidR="006E739D" w:rsidRDefault="006E739D" w:rsidP="006E739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</w:t>
      </w:r>
    </w:p>
    <w:p w:rsidR="0035302A" w:rsidRPr="00FC5320" w:rsidRDefault="0035302A" w:rsidP="006E739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739D" w:rsidRPr="00FC5320" w:rsidRDefault="006E739D" w:rsidP="006E739D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E739D" w:rsidRDefault="006E739D" w:rsidP="006E739D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320">
        <w:rPr>
          <w:rFonts w:ascii="Times New Roman" w:hAnsi="Times New Roman"/>
          <w:sz w:val="28"/>
          <w:szCs w:val="28"/>
        </w:rPr>
        <w:t xml:space="preserve">В целях обеспечения эффективного контроля за исполнением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18.2 Положения о контрольно-ревизионной комиссии муниципального образования Куркинский район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утвержденной решением Собрания представителей муниципального образования Куркинский район  от 19.04.2012 N 22-4, </w:t>
      </w:r>
      <w:r w:rsidRPr="00FC5320">
        <w:rPr>
          <w:rFonts w:ascii="Times New Roman" w:hAnsi="Times New Roman"/>
          <w:sz w:val="28"/>
          <w:szCs w:val="28"/>
        </w:rPr>
        <w:t>руководствуясь Устав</w:t>
      </w:r>
      <w:r w:rsidR="008D0EB2">
        <w:rPr>
          <w:rFonts w:ascii="Times New Roman" w:hAnsi="Times New Roman"/>
          <w:sz w:val="28"/>
          <w:szCs w:val="28"/>
        </w:rPr>
        <w:t>ом</w:t>
      </w:r>
      <w:r w:rsidRPr="00FC5320">
        <w:rPr>
          <w:rFonts w:ascii="Times New Roman" w:hAnsi="Times New Roman"/>
          <w:sz w:val="28"/>
          <w:szCs w:val="28"/>
        </w:rPr>
        <w:t xml:space="preserve">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8D0EB2" w:rsidRDefault="008D0EB2" w:rsidP="006E739D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0EB2" w:rsidRDefault="008D0EB2" w:rsidP="006E739D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0EB2" w:rsidRPr="0035302A" w:rsidRDefault="0035302A" w:rsidP="0035302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0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D0EB2" w:rsidRPr="0035302A">
        <w:rPr>
          <w:rFonts w:ascii="Times New Roman" w:hAnsi="Times New Roman"/>
          <w:sz w:val="28"/>
          <w:szCs w:val="28"/>
        </w:rPr>
        <w:t>Утвердить отчет о деятельности контрольно – ревизионной комиссии муниципа</w:t>
      </w:r>
      <w:r w:rsidR="0011557F" w:rsidRPr="0035302A">
        <w:rPr>
          <w:rFonts w:ascii="Times New Roman" w:hAnsi="Times New Roman"/>
          <w:sz w:val="28"/>
          <w:szCs w:val="28"/>
        </w:rPr>
        <w:t xml:space="preserve">льного </w:t>
      </w:r>
      <w:r w:rsidRPr="0035302A">
        <w:rPr>
          <w:rFonts w:ascii="Times New Roman" w:hAnsi="Times New Roman"/>
          <w:sz w:val="28"/>
          <w:szCs w:val="28"/>
        </w:rPr>
        <w:t>образования Куркинский район за 2015 год.</w:t>
      </w:r>
    </w:p>
    <w:p w:rsidR="0035302A" w:rsidRPr="0035302A" w:rsidRDefault="0035302A" w:rsidP="0035302A">
      <w:pPr>
        <w:ind w:firstLine="540"/>
      </w:pPr>
    </w:p>
    <w:p w:rsidR="0035302A" w:rsidRPr="0035302A" w:rsidRDefault="0035302A" w:rsidP="0035302A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2A"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 w:rsidRPr="003530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5302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35302A" w:rsidRPr="0035302A" w:rsidRDefault="0035302A" w:rsidP="0035302A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2A" w:rsidRPr="0035302A" w:rsidRDefault="0035302A" w:rsidP="0035302A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35302A">
        <w:rPr>
          <w:rFonts w:ascii="Times New Roman" w:hAnsi="Times New Roman" w:cs="Times New Roman"/>
          <w:sz w:val="28"/>
          <w:szCs w:val="28"/>
        </w:rPr>
        <w:t>.  Настоящее Решение вступает в силу с</w:t>
      </w:r>
      <w:r w:rsidR="00DE555C">
        <w:rPr>
          <w:rFonts w:ascii="Times New Roman" w:hAnsi="Times New Roman" w:cs="Times New Roman"/>
          <w:sz w:val="28"/>
          <w:szCs w:val="28"/>
        </w:rPr>
        <w:t>о</w:t>
      </w:r>
      <w:r w:rsidRPr="0035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подписания</w:t>
      </w:r>
      <w:r w:rsidRPr="0035302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5302A" w:rsidRPr="0035302A" w:rsidRDefault="0035302A" w:rsidP="0035302A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5302A" w:rsidRPr="00A00B82" w:rsidRDefault="0035302A" w:rsidP="0035302A">
      <w:pPr>
        <w:jc w:val="center"/>
        <w:rPr>
          <w:rFonts w:ascii="Arial" w:hAnsi="Arial" w:cs="Arial"/>
          <w:b/>
          <w:sz w:val="24"/>
          <w:szCs w:val="24"/>
        </w:rPr>
      </w:pPr>
    </w:p>
    <w:p w:rsidR="0035302A" w:rsidRPr="0035302A" w:rsidRDefault="0035302A" w:rsidP="0035302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39D" w:rsidRDefault="00C4183D" w:rsidP="00C4183D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183D"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 w:rsidRPr="00C418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83D" w:rsidRDefault="00C4183D" w:rsidP="00C4183D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39D" w:rsidRDefault="006E739D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39D" w:rsidRDefault="006E739D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39D" w:rsidRDefault="006E739D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39D" w:rsidRDefault="006E739D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6B99" w:rsidRPr="00B87A0A" w:rsidRDefault="00D26B99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D26B99" w:rsidRPr="00B87A0A" w:rsidRDefault="00D26B99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D26B99" w:rsidRPr="00B87A0A" w:rsidRDefault="00D26B99" w:rsidP="00D26B9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D26B99" w:rsidRPr="00B87A0A" w:rsidRDefault="00D26B99" w:rsidP="00B87A0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         от</w:t>
      </w:r>
      <w:r w:rsidR="00E9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25.03.</w:t>
      </w: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87A0A"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5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</w:t>
      </w: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9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18-5</w:t>
      </w: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5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</w:t>
      </w:r>
    </w:p>
    <w:p w:rsidR="00D26B99" w:rsidRPr="00B87A0A" w:rsidRDefault="00D26B99" w:rsidP="00D26B9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26B99" w:rsidRPr="006E739D" w:rsidRDefault="00D26B99" w:rsidP="00D26B9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7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D26B99" w:rsidRDefault="00D26B99" w:rsidP="00D26B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D26B99" w:rsidRDefault="00D26B99" w:rsidP="00D26B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2015 год.</w:t>
      </w:r>
    </w:p>
    <w:p w:rsidR="00D26B99" w:rsidRDefault="00D26B99" w:rsidP="00D26B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6B99" w:rsidRDefault="00D26B99" w:rsidP="00D26B9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</w:t>
      </w:r>
      <w:r w:rsidR="006E739D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  (далее - контрольно-ревизионная комиссия</w:t>
      </w:r>
      <w:r w:rsidR="007748EE">
        <w:rPr>
          <w:rFonts w:ascii="Times New Roman" w:hAnsi="Times New Roman" w:cs="Times New Roman"/>
          <w:color w:val="000000" w:themeColor="text1"/>
          <w:sz w:val="28"/>
          <w:szCs w:val="28"/>
        </w:rPr>
        <w:t>, КРК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2015 году.</w:t>
      </w:r>
      <w:proofErr w:type="gramEnd"/>
    </w:p>
    <w:p w:rsidR="00D26B99" w:rsidRDefault="00D26B99" w:rsidP="00D26B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26B99" w:rsidRDefault="00D26B99" w:rsidP="00D26B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Утверждена  штатная численность контрольно-счетного органа  в количестве  3-х единиц, в том числе 1 председателя и 2 инспекторов работающих на общественных началах. </w:t>
      </w:r>
    </w:p>
    <w:p w:rsidR="00D26B99" w:rsidRDefault="00D26B99" w:rsidP="00D26B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Сотрудники К</w:t>
      </w:r>
      <w:r w:rsidR="007748EE">
        <w:rPr>
          <w:rFonts w:ascii="Times New Roman" w:hAnsi="Times New Roman" w:cs="Times New Roman"/>
          <w:color w:val="000000" w:themeColor="text1"/>
          <w:sz w:val="28"/>
          <w:szCs w:val="28"/>
        </w:rPr>
        <w:t>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высшее профессиональное образование и  необходимые навыки, опыт для исполнения возложенных задач. Контрольно-</w:t>
      </w:r>
      <w:r w:rsidR="007748EE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ревизионная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 является членом Совета контрольно-счетных органов Тульской области.</w:t>
      </w:r>
    </w:p>
    <w:p w:rsidR="00D26B99" w:rsidRDefault="00D26B99" w:rsidP="00D26B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контрольно-счетный орган,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контрольно-счетного органа.</w:t>
      </w:r>
    </w:p>
    <w:p w:rsidR="007748EE" w:rsidRDefault="00D26B99" w:rsidP="00D26B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2015 год  контрольно-счетным  органом проведено </w:t>
      </w:r>
      <w:r w:rsidR="007748E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в том числе   </w:t>
      </w:r>
      <w:r w:rsidR="007748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контрольных   и  </w:t>
      </w:r>
      <w:r w:rsidR="007748E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 мероприятий.</w:t>
      </w:r>
    </w:p>
    <w:p w:rsidR="00D26B99" w:rsidRDefault="00D26B99" w:rsidP="00D26B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48EE" w:rsidRPr="00C4183D" w:rsidRDefault="00D26B99" w:rsidP="007748EE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 </w:t>
      </w:r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заключений: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 на отчет об исполнении бюджета за 2014 год,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- 12 экспертных заключений на проекты постановления  об утверждении квартального  отчета «Исполнение бюджета   за 2015 год»,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- 4 экспертных заключения на проект Решения собрания </w:t>
      </w:r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представителей МО Куркинский район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Ккркинский</w:t>
      </w:r>
      <w:proofErr w:type="spellEnd"/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2016 год и плановый период 2017-2018гг.»</w:t>
      </w:r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проекты решений Собраний депутатов поселений рабочий поселок Куркино, Самарское и Михайловское о бюджете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7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2016 год и плановый период 2017-2018гг.</w:t>
      </w:r>
    </w:p>
    <w:p w:rsidR="007748EE" w:rsidRDefault="007748EE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8EE" w:rsidRPr="00A77CBC" w:rsidRDefault="00A77CBC" w:rsidP="00A77CBC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1.1 </w:t>
      </w:r>
      <w:r w:rsidR="00D26B99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Куркинский район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экспертных заключения в том числе:</w:t>
      </w:r>
    </w:p>
    <w:p w:rsidR="00D26B99" w:rsidRDefault="00A77CBC" w:rsidP="00D5179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проекты Решений Собрания представителей  муниципального образования Куркинский район, 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образования Куркинский район.</w:t>
      </w:r>
    </w:p>
    <w:p w:rsidR="00D5179D" w:rsidRDefault="00D5179D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79D" w:rsidRDefault="00D5179D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79D" w:rsidRPr="00A77CBC" w:rsidRDefault="00D26B99" w:rsidP="00A77CBC">
      <w:pPr>
        <w:pStyle w:val="a4"/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образование рабочий поселок </w:t>
      </w:r>
      <w:r w:rsidR="00D5179D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 Куркинского</w:t>
      </w:r>
      <w:r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77C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муниципальному образованию  рабочий  поселок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 Куркинского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было выдано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заключения  из них:</w:t>
      </w:r>
      <w:proofErr w:type="gramEnd"/>
    </w:p>
    <w:p w:rsidR="00D26B99" w:rsidRDefault="00A77CBC" w:rsidP="00D5179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проекты Решений Собрания </w:t>
      </w:r>
      <w:proofErr w:type="spellStart"/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рабочий поселок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 Куркинского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образования Куркинский район.</w:t>
      </w:r>
    </w:p>
    <w:p w:rsidR="00D5179D" w:rsidRDefault="00D5179D" w:rsidP="00D5179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6B99" w:rsidRPr="00A77CBC" w:rsidRDefault="00D5179D" w:rsidP="00A77CBC">
      <w:pPr>
        <w:pStyle w:val="a4"/>
        <w:shd w:val="clear" w:color="auto" w:fill="FFFFFF"/>
        <w:spacing w:before="100" w:beforeAutospacing="1" w:after="100" w:afterAutospacing="1"/>
        <w:ind w:left="12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D26B99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образование  </w:t>
      </w:r>
      <w:r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 Куркинского</w:t>
      </w:r>
      <w:r w:rsidR="00D26B99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 Куркинского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сделано 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заключений (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проекты решений Собрания депутатов муниципального образования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 Куркинского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 постановлени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администрации).</w:t>
      </w:r>
    </w:p>
    <w:p w:rsidR="00D5179D" w:rsidRDefault="00D5179D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79D" w:rsidRPr="00D5179D" w:rsidRDefault="00A77CBC" w:rsidP="00A77CBC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5179D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D26B99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  образование </w:t>
      </w:r>
      <w:r w:rsidR="00D5179D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 Куркинского</w:t>
      </w:r>
      <w:r w:rsidR="00D26B99" w:rsidRP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D26B99" w:rsidRPr="00D5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 Куркинского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сделано  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 (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 решения Собрания депутатов муниципального образования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 Куркинского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  и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 на постановлени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r w:rsidR="00D5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 Куркинского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района).            </w:t>
      </w: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6B99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6B99" w:rsidRDefault="00D26B99" w:rsidP="00D26B99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По итогам проведения экспертных мероприятий в выданных заключениях указано </w:t>
      </w:r>
      <w:r w:rsid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несущественные несоответствия. В целом проекты </w:t>
      </w:r>
      <w:r w:rsid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решений и квартальные отчеты соответствуют действующему законодательству и рекомендованы к утверждению.</w:t>
      </w:r>
    </w:p>
    <w:p w:rsidR="00D26B99" w:rsidRDefault="00D26B99" w:rsidP="00D26B99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179. «Государственные программы Российской Федерации, государственные программы субъекта Российской Федерации, муниципальные программы»,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184.1. «Общие положения»,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184.2. «Документы и материалы, представляемые одновременно с проектом бюджета» Бюджетного кодекса РФ</w:t>
      </w:r>
    </w:p>
    <w:p w:rsidR="00D26B99" w:rsidRPr="00A52D5D" w:rsidRDefault="00D26B99" w:rsidP="00D26B99">
      <w:pPr>
        <w:pStyle w:val="1"/>
        <w:shd w:val="clear" w:color="auto" w:fill="FFFFFF"/>
        <w:spacing w:before="0" w:beforeAutospacing="0" w:after="144" w:afterAutospacing="0"/>
        <w:rPr>
          <w:b w:val="0"/>
          <w:color w:val="000000" w:themeColor="text1"/>
          <w:sz w:val="28"/>
          <w:szCs w:val="28"/>
        </w:rPr>
      </w:pPr>
      <w:r w:rsidRPr="00A52D5D">
        <w:rPr>
          <w:b w:val="0"/>
          <w:color w:val="000000" w:themeColor="text1"/>
          <w:sz w:val="28"/>
          <w:szCs w:val="28"/>
        </w:rPr>
        <w:t xml:space="preserve">        - Положениям о бюджетном процессе в муниципальных образованиях.</w:t>
      </w:r>
    </w:p>
    <w:p w:rsidR="00D26B99" w:rsidRPr="00A52D5D" w:rsidRDefault="00D26B99" w:rsidP="00A52D5D">
      <w:pPr>
        <w:pStyle w:val="1"/>
        <w:shd w:val="clear" w:color="auto" w:fill="FFFFFF"/>
        <w:spacing w:before="0" w:beforeAutospacing="0" w:after="144" w:afterAutospacing="0"/>
        <w:jc w:val="both"/>
        <w:rPr>
          <w:color w:val="000000" w:themeColor="text1"/>
          <w:sz w:val="28"/>
          <w:szCs w:val="28"/>
        </w:rPr>
      </w:pPr>
      <w:r w:rsidRPr="00A52D5D">
        <w:rPr>
          <w:b w:val="0"/>
          <w:color w:val="000000" w:themeColor="text1"/>
          <w:sz w:val="28"/>
          <w:szCs w:val="28"/>
        </w:rPr>
        <w:t xml:space="preserve">     Проведенная  экспертиза Проектов решений и постановлений позволила не допустить принятия НПА в муниципальных образованиях района противоречащих законодательству.</w:t>
      </w:r>
    </w:p>
    <w:p w:rsidR="00A52D5D" w:rsidRPr="00A52D5D" w:rsidRDefault="00D26B99" w:rsidP="00A52D5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D26B99" w:rsidRPr="00A52D5D" w:rsidRDefault="00D26B99" w:rsidP="00D26B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</w:t>
      </w:r>
      <w:r w:rsid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 комиссией</w:t>
      </w:r>
      <w:r w:rsidRP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Куркинский район в 2015 году было проведено </w:t>
      </w:r>
      <w:r w:rsid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в том числе </w:t>
      </w:r>
      <w:r w:rsid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плановых и </w:t>
      </w:r>
      <w:r w:rsid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внеплановых.</w:t>
      </w:r>
    </w:p>
    <w:p w:rsidR="00C40657" w:rsidRDefault="00D26B99" w:rsidP="00AA04B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40657" w:rsidRPr="00353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 w:rsidR="00C40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Проверка финансов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r w:rsidR="00C40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йственной деятельности проведена в Администрациях поселения Михайловское и Самарское Куркинского района, в  м</w:t>
      </w:r>
      <w:r w:rsidR="00AA04B1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казенном </w:t>
      </w:r>
      <w:r w:rsidR="00AA04B1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="00AA04B1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AA04B1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A04B1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«Куркинская начальная общеобразовательная школа»</w:t>
      </w:r>
      <w:r w:rsidR="00D1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6CAE" w:rsidRDefault="00D132DF" w:rsidP="00D132DF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 Михайловское и МО Самарское на протяжении последних лет  в нарушение пункта 5 статьи 264</w:t>
      </w:r>
      <w:r w:rsidRPr="00D132D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Бюджетного кодекса РФ  отчет об исполнении бюджета поселения за первый квартал, полугодие и девять месяцев текущего финансового года не утверждался постановлением местной администрации</w:t>
      </w:r>
      <w:r w:rsidRPr="00D132D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D1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соответственно не направлялся в Собрание депутатов для сведения и в контрольно-ревизионную комиссию МО Куркинский район для проведения заключения об исполнении</w:t>
      </w:r>
      <w:proofErr w:type="gramEnd"/>
      <w:r w:rsidRPr="00D1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A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32DF" w:rsidRDefault="00D132DF" w:rsidP="00D132DF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 Михайловское и МО Самарское финансовые показатели </w:t>
      </w:r>
      <w:proofErr w:type="gramStart"/>
      <w:r w:rsidR="00A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программ, финансируемых из бюджетов поселений не соответствовали</w:t>
      </w:r>
      <w:proofErr w:type="gramEnd"/>
      <w:r w:rsidR="00A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утвержденным лимитам денежных обязательств утвержденных бюджетов.</w:t>
      </w:r>
    </w:p>
    <w:p w:rsidR="00AB6CAE" w:rsidRDefault="00AB6CAE" w:rsidP="00D132DF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Нарушались нормы расхода топлива на автомобильном транспорте, не контролировался в путевых листах пройденный километраж.</w:t>
      </w:r>
    </w:p>
    <w:p w:rsidR="008600CA" w:rsidRDefault="008600CA" w:rsidP="00D132DF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статьи 21 Федерального закона от 5 апреля 2013 г. № 44-ФЗ «О  контрактной системе в сфере закупок товаров, работ, услуг, для обеспечения государственных и муниципальных нужд» план-график размещения заказов на 2014 год совершенно не соответствует сметам расходов по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860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подведомственным учреждениям Культуры.</w:t>
      </w:r>
    </w:p>
    <w:p w:rsidR="00AB6CAE" w:rsidRDefault="00AB6CAE" w:rsidP="00D132DF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 Самарское  с нарушением проводилось списание  мате</w:t>
      </w:r>
      <w:r w:rsidR="00860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иальных запасов на ремонт </w:t>
      </w:r>
      <w:r w:rsidR="00860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строительство неадминистративных объектов. </w:t>
      </w:r>
      <w:r w:rsidR="00860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Выборочной проверкой правильности начисления заработной платы выявлено нарушений на общую сумму 10,0 тыс. рублей.</w:t>
      </w:r>
    </w:p>
    <w:p w:rsidR="00603299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казенному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«Куркинская начальная общеобразовательная школа»</w:t>
      </w:r>
      <w:r w:rsidRPr="00860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предписано: </w:t>
      </w:r>
    </w:p>
    <w:p w:rsidR="008600CA" w:rsidRPr="00FA6549" w:rsidRDefault="00603299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</w:t>
      </w:r>
      <w:r w:rsidR="008600CA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со статьей 798 Гражданского кодекса РФ при заключении договоров на выполнение работ, оказание услуг, указывать сроки выполнения работ, оказание услуг.</w:t>
      </w:r>
    </w:p>
    <w:p w:rsidR="008600CA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Директору Школы издать приказ с указанием должностных лиц, имеющих право получать наличные денежные средства в подотчет, а так же оговорить сроки сдачи отчета об израсходовании денежных средств.</w:t>
      </w:r>
    </w:p>
    <w:p w:rsidR="008600CA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Разработать и утвердить бюджетную политику учреждения.</w:t>
      </w:r>
    </w:p>
    <w:p w:rsidR="008600CA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проводить инвентаризацию материальных запасов и денежных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оответствующим ее оформлением.</w:t>
      </w:r>
    </w:p>
    <w:p w:rsidR="008600CA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77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Школу допустившей нарушения по статьям 21, 112 федерального закона  № 44-ФЗ, Приказа  №544/16н, которые предусматривают признаки состава  административного правонарушения.</w:t>
      </w:r>
    </w:p>
    <w:p w:rsidR="008600CA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 В ходе проверки установлено, что Учреждением в 2013-2014 гг. все закупки осуществлялись не конкурентными способами. В соответствии с Постановлением правительства Российской Федерации от 26.02.2010 года №96 «Об </w:t>
      </w:r>
      <w:proofErr w:type="spellStart"/>
      <w:r w:rsidRPr="008439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439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отказ от конкурентных процедур имеет коррупционную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0CA" w:rsidRPr="00843997" w:rsidRDefault="008600CA" w:rsidP="008600C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7C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соответствие учет основных средств и малоценных предметов.</w:t>
      </w:r>
    </w:p>
    <w:p w:rsidR="00AA04B1" w:rsidRPr="00A52D5D" w:rsidRDefault="00AA04B1" w:rsidP="00C4065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657" w:rsidRPr="00C40657" w:rsidRDefault="00603299" w:rsidP="00C4065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3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 w:rsidR="00D26B99" w:rsidRPr="00A5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2D5D" w:rsidRPr="00A52D5D">
        <w:rPr>
          <w:rFonts w:ascii="Times New Roman" w:hAnsi="Times New Roman" w:cs="Times New Roman"/>
          <w:sz w:val="28"/>
          <w:szCs w:val="28"/>
        </w:rPr>
        <w:t>роверк</w:t>
      </w:r>
      <w:r w:rsidR="00A52D5D">
        <w:rPr>
          <w:rFonts w:ascii="Times New Roman" w:hAnsi="Times New Roman" w:cs="Times New Roman"/>
          <w:sz w:val="28"/>
          <w:szCs w:val="28"/>
        </w:rPr>
        <w:t xml:space="preserve">а </w:t>
      </w:r>
      <w:r w:rsidR="00A52D5D" w:rsidRPr="00A52D5D">
        <w:rPr>
          <w:rFonts w:ascii="Times New Roman" w:hAnsi="Times New Roman" w:cs="Times New Roman"/>
          <w:sz w:val="28"/>
          <w:szCs w:val="28"/>
        </w:rPr>
        <w:t>правомерности и эффективности использования муниципального имущества муниципального образования Куркинский район за 2</w:t>
      </w:r>
      <w:r w:rsidR="00A52D5D">
        <w:rPr>
          <w:rFonts w:ascii="Times New Roman" w:hAnsi="Times New Roman" w:cs="Times New Roman"/>
          <w:sz w:val="28"/>
          <w:szCs w:val="28"/>
        </w:rPr>
        <w:t>014 год и 1 п</w:t>
      </w:r>
      <w:r>
        <w:rPr>
          <w:rFonts w:ascii="Times New Roman" w:hAnsi="Times New Roman" w:cs="Times New Roman"/>
          <w:sz w:val="28"/>
          <w:szCs w:val="28"/>
        </w:rPr>
        <w:t>олугодие 2015 года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2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 с 15 января 2015 по 10 февраля 2015 года.</w:t>
      </w:r>
      <w:r w:rsidR="00C40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</w:t>
      </w:r>
      <w:r w:rsidR="00C40657" w:rsidRPr="00C40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C40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 с</w:t>
      </w:r>
      <w:r w:rsidR="00C40657" w:rsidRPr="00C40657">
        <w:rPr>
          <w:rFonts w:ascii="Times New Roman" w:hAnsi="Times New Roman" w:cs="Times New Roman"/>
          <w:sz w:val="28"/>
          <w:szCs w:val="28"/>
        </w:rPr>
        <w:t>рок проведения дополнительной проверки с 01.12.2015г. по 11.12.2015г.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результатам проверки д</w:t>
      </w:r>
      <w:r w:rsidRPr="00603299">
        <w:rPr>
          <w:rFonts w:ascii="Times New Roman" w:hAnsi="Times New Roman" w:cs="Times New Roman"/>
          <w:noProof/>
          <w:sz w:val="28"/>
          <w:szCs w:val="28"/>
        </w:rPr>
        <w:t>ля повышения эффективности использования имущества и земельных ресурсов муниципального образования Куркинский район, увеличения поступления доходов от использования земельных ресурсов Отделу экономического развития, имущественных отношений рекомендовано: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99">
        <w:rPr>
          <w:rFonts w:ascii="Times New Roman" w:hAnsi="Times New Roman" w:cs="Times New Roman"/>
          <w:sz w:val="28"/>
          <w:szCs w:val="28"/>
        </w:rPr>
        <w:t>1</w:t>
      </w:r>
      <w:r w:rsidR="00A77CBC">
        <w:rPr>
          <w:rFonts w:ascii="Times New Roman" w:hAnsi="Times New Roman" w:cs="Times New Roman"/>
          <w:sz w:val="28"/>
          <w:szCs w:val="28"/>
        </w:rPr>
        <w:t xml:space="preserve">) </w:t>
      </w:r>
      <w:r w:rsidRPr="00603299">
        <w:rPr>
          <w:rFonts w:ascii="Times New Roman" w:hAnsi="Times New Roman" w:cs="Times New Roman"/>
          <w:sz w:val="28"/>
          <w:szCs w:val="28"/>
        </w:rPr>
        <w:t>Повысить эффективность мероприятий земельного контроля для своевременного выявления и устранения фактов:</w:t>
      </w:r>
    </w:p>
    <w:p w:rsidR="00603299" w:rsidRPr="00603299" w:rsidRDefault="00603299" w:rsidP="00603299">
      <w:pPr>
        <w:pStyle w:val="a5"/>
        <w:ind w:left="840"/>
        <w:jc w:val="both"/>
        <w:rPr>
          <w:rFonts w:ascii="Times New Roman" w:hAnsi="Times New Roman"/>
          <w:sz w:val="28"/>
          <w:szCs w:val="28"/>
        </w:rPr>
      </w:pPr>
      <w:r w:rsidRPr="00603299">
        <w:rPr>
          <w:rFonts w:ascii="Times New Roman" w:hAnsi="Times New Roman"/>
          <w:sz w:val="28"/>
          <w:szCs w:val="28"/>
        </w:rPr>
        <w:t>-нецелевого использования земельных участков,</w:t>
      </w:r>
    </w:p>
    <w:p w:rsidR="00603299" w:rsidRPr="00603299" w:rsidRDefault="00603299" w:rsidP="00603299">
      <w:pPr>
        <w:pStyle w:val="a5"/>
        <w:ind w:left="840"/>
        <w:jc w:val="both"/>
        <w:rPr>
          <w:rFonts w:ascii="Times New Roman" w:hAnsi="Times New Roman"/>
          <w:sz w:val="28"/>
          <w:szCs w:val="28"/>
        </w:rPr>
      </w:pPr>
      <w:r w:rsidRPr="00603299">
        <w:rPr>
          <w:rFonts w:ascii="Times New Roman" w:hAnsi="Times New Roman"/>
          <w:sz w:val="28"/>
          <w:szCs w:val="28"/>
        </w:rPr>
        <w:lastRenderedPageBreak/>
        <w:t>-соблюдение юридическими лицами сроков и порядка переоформления права постоянного (бессрочного) пользования земельными участками,</w:t>
      </w:r>
    </w:p>
    <w:p w:rsidR="00603299" w:rsidRPr="00603299" w:rsidRDefault="00603299" w:rsidP="00603299">
      <w:pPr>
        <w:pStyle w:val="a5"/>
        <w:ind w:left="840"/>
        <w:jc w:val="both"/>
        <w:rPr>
          <w:rFonts w:ascii="Times New Roman" w:hAnsi="Times New Roman"/>
          <w:sz w:val="28"/>
          <w:szCs w:val="28"/>
        </w:rPr>
      </w:pPr>
      <w:r w:rsidRPr="00603299">
        <w:rPr>
          <w:rFonts w:ascii="Times New Roman" w:hAnsi="Times New Roman"/>
          <w:sz w:val="28"/>
          <w:szCs w:val="28"/>
        </w:rPr>
        <w:t>-соблюдение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права на землю,</w:t>
      </w:r>
    </w:p>
    <w:p w:rsidR="00603299" w:rsidRPr="00603299" w:rsidRDefault="00603299" w:rsidP="00603299">
      <w:pPr>
        <w:pStyle w:val="a5"/>
        <w:ind w:left="840"/>
        <w:jc w:val="both"/>
        <w:rPr>
          <w:rFonts w:ascii="Times New Roman" w:hAnsi="Times New Roman"/>
          <w:sz w:val="28"/>
          <w:szCs w:val="28"/>
        </w:rPr>
      </w:pPr>
      <w:r w:rsidRPr="00603299">
        <w:rPr>
          <w:rFonts w:ascii="Times New Roman" w:hAnsi="Times New Roman"/>
          <w:sz w:val="28"/>
          <w:szCs w:val="28"/>
        </w:rPr>
        <w:t>-предоставление достоверных сведений о состоянии земельных участков и расположенных на них объектах;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99">
        <w:rPr>
          <w:rFonts w:ascii="Times New Roman" w:hAnsi="Times New Roman" w:cs="Times New Roman"/>
          <w:sz w:val="28"/>
          <w:szCs w:val="28"/>
        </w:rPr>
        <w:t>2</w:t>
      </w:r>
      <w:r w:rsidR="00A77CBC">
        <w:rPr>
          <w:rFonts w:ascii="Times New Roman" w:hAnsi="Times New Roman" w:cs="Times New Roman"/>
          <w:sz w:val="28"/>
          <w:szCs w:val="28"/>
        </w:rPr>
        <w:t>)</w:t>
      </w:r>
      <w:r w:rsidRPr="00603299">
        <w:rPr>
          <w:rFonts w:ascii="Times New Roman" w:hAnsi="Times New Roman" w:cs="Times New Roman"/>
          <w:sz w:val="28"/>
          <w:szCs w:val="28"/>
        </w:rPr>
        <w:t xml:space="preserve"> Активизировать работу по разграничению государственной собственности на землю и оформлению права собственности с целью повышения доходной части бюджета муниципального образования;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99">
        <w:rPr>
          <w:rFonts w:ascii="Times New Roman" w:hAnsi="Times New Roman" w:cs="Times New Roman"/>
          <w:sz w:val="28"/>
          <w:szCs w:val="28"/>
        </w:rPr>
        <w:t>3</w:t>
      </w:r>
      <w:r w:rsidR="00A77CBC">
        <w:rPr>
          <w:rFonts w:ascii="Times New Roman" w:hAnsi="Times New Roman" w:cs="Times New Roman"/>
          <w:sz w:val="28"/>
          <w:szCs w:val="28"/>
        </w:rPr>
        <w:t>)</w:t>
      </w:r>
      <w:r w:rsidRPr="00603299">
        <w:rPr>
          <w:rFonts w:ascii="Times New Roman" w:hAnsi="Times New Roman" w:cs="Times New Roman"/>
          <w:sz w:val="28"/>
          <w:szCs w:val="28"/>
        </w:rPr>
        <w:t xml:space="preserve"> Провести инвентаризацию земельных участков с целью выявления участков, не участвующих в формировании доходов бюджета муниципального образования и их вовлечения в оборот либо возможной продажи;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99">
        <w:rPr>
          <w:rFonts w:ascii="Times New Roman" w:hAnsi="Times New Roman" w:cs="Times New Roman"/>
          <w:sz w:val="28"/>
          <w:szCs w:val="28"/>
        </w:rPr>
        <w:t>4</w:t>
      </w:r>
      <w:r w:rsidR="00A77CBC">
        <w:rPr>
          <w:rFonts w:ascii="Times New Roman" w:hAnsi="Times New Roman" w:cs="Times New Roman"/>
          <w:sz w:val="28"/>
          <w:szCs w:val="28"/>
        </w:rPr>
        <w:t>)</w:t>
      </w:r>
      <w:r w:rsidRPr="00603299">
        <w:rPr>
          <w:rFonts w:ascii="Times New Roman" w:hAnsi="Times New Roman" w:cs="Times New Roman"/>
          <w:sz w:val="28"/>
          <w:szCs w:val="28"/>
        </w:rPr>
        <w:t xml:space="preserve"> Ведение реестра земельных участков, находящихся в муниципальной собственности осуществлять в соответствии с требованиями действующих нормативных правовых актов; 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99">
        <w:rPr>
          <w:rFonts w:ascii="Times New Roman" w:hAnsi="Times New Roman" w:cs="Times New Roman"/>
          <w:sz w:val="28"/>
          <w:szCs w:val="28"/>
        </w:rPr>
        <w:t>5</w:t>
      </w:r>
      <w:r w:rsidR="00A77CBC">
        <w:rPr>
          <w:rFonts w:ascii="Times New Roman" w:hAnsi="Times New Roman" w:cs="Times New Roman"/>
          <w:sz w:val="28"/>
          <w:szCs w:val="28"/>
        </w:rPr>
        <w:t>)</w:t>
      </w:r>
      <w:r w:rsidRPr="00603299">
        <w:rPr>
          <w:rFonts w:ascii="Times New Roman" w:hAnsi="Times New Roman" w:cs="Times New Roman"/>
          <w:sz w:val="28"/>
          <w:szCs w:val="28"/>
        </w:rPr>
        <w:t xml:space="preserve"> Обеспечить ведение аналитического учета задолженности по каждому договору аренды имущества и земельных участков юридических и физических лиц, осуществление </w:t>
      </w:r>
      <w:proofErr w:type="gramStart"/>
      <w:r w:rsidRPr="006032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3299">
        <w:rPr>
          <w:rFonts w:ascii="Times New Roman" w:hAnsi="Times New Roman" w:cs="Times New Roman"/>
          <w:sz w:val="28"/>
          <w:szCs w:val="28"/>
        </w:rPr>
        <w:t xml:space="preserve"> начислением арендной платы и ее поступлением; </w:t>
      </w:r>
    </w:p>
    <w:p w:rsidR="00603299" w:rsidRDefault="00603299" w:rsidP="00603299">
      <w:pPr>
        <w:pStyle w:val="a5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603299">
        <w:rPr>
          <w:rFonts w:ascii="Times New Roman" w:hAnsi="Times New Roman"/>
          <w:noProof/>
          <w:sz w:val="28"/>
          <w:szCs w:val="28"/>
        </w:rPr>
        <w:t>6</w:t>
      </w:r>
      <w:r w:rsidR="00A77CBC">
        <w:rPr>
          <w:rFonts w:ascii="Times New Roman" w:hAnsi="Times New Roman"/>
          <w:noProof/>
          <w:sz w:val="28"/>
          <w:szCs w:val="28"/>
        </w:rPr>
        <w:t>)</w:t>
      </w:r>
      <w:r w:rsidRPr="00603299">
        <w:rPr>
          <w:rFonts w:ascii="Times New Roman" w:hAnsi="Times New Roman"/>
          <w:noProof/>
          <w:sz w:val="28"/>
          <w:szCs w:val="28"/>
        </w:rPr>
        <w:t xml:space="preserve"> Принять меры по активизации работы по   взысканию текущей задолженности по арендным платежам,</w:t>
      </w:r>
      <w:r w:rsidRPr="00603299">
        <w:rPr>
          <w:rFonts w:ascii="Times New Roman" w:hAnsi="Times New Roman"/>
          <w:sz w:val="28"/>
          <w:szCs w:val="28"/>
        </w:rPr>
        <w:t xml:space="preserve"> выставлению пени за нарушение сроков арендной платы, инициировать расторжение договоров аренды с недобросовестными арендаторами</w:t>
      </w:r>
      <w:r w:rsidRPr="00603299">
        <w:rPr>
          <w:rFonts w:ascii="Times New Roman" w:hAnsi="Times New Roman"/>
          <w:noProof/>
          <w:sz w:val="28"/>
          <w:szCs w:val="28"/>
        </w:rPr>
        <w:t>.</w:t>
      </w:r>
    </w:p>
    <w:p w:rsidR="00603299" w:rsidRPr="00603299" w:rsidRDefault="00603299" w:rsidP="0060329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данным проведенной перепроверки</w:t>
      </w:r>
      <w:r w:rsidR="00370BA5">
        <w:rPr>
          <w:rFonts w:ascii="Times New Roman" w:hAnsi="Times New Roman" w:cs="Times New Roman"/>
          <w:sz w:val="28"/>
          <w:szCs w:val="28"/>
        </w:rPr>
        <w:t>, устранению выявленных нарушений в ходе проверки появилась возможность проведения анализа поступления средств от использования и реализации муниципального имущества. З</w:t>
      </w: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адолженность по арендной плате по состоянию на 01.01.2015 года составляла 578,2 тыс. руб., по итогам полугодия задолженность возросла  до 1168,6 тыс</w:t>
      </w:r>
      <w:proofErr w:type="gram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уб. (в 2,0 раза), за 9 месяцев текущего года составила 1268,1 тыс. руб. ( в 2,19 раза). Из 38 арендаторов муниципального имущества 11 арендаторов имеют непогашенную задолженность, </w:t>
      </w:r>
      <w:proofErr w:type="gram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ООО</w:t>
      </w:r>
      <w:proofErr w:type="gram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«ЭГИ - Тула»  непогашенную  задолженность  за 2014 год.</w:t>
      </w:r>
    </w:p>
    <w:p w:rsidR="0035302A" w:rsidRPr="00603299" w:rsidRDefault="0035302A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15 декабря задолженность по договорам аренды составила 1201,1 тыс. руб. или 207,7% к задолженности на начало года.</w:t>
      </w: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Style w:val="a6"/>
        <w:tblW w:w="9425" w:type="dxa"/>
        <w:tblLook w:val="04A0"/>
      </w:tblPr>
      <w:tblGrid>
        <w:gridCol w:w="1850"/>
        <w:gridCol w:w="1766"/>
        <w:gridCol w:w="1985"/>
        <w:gridCol w:w="1967"/>
        <w:gridCol w:w="1857"/>
      </w:tblGrid>
      <w:tr w:rsidR="00603299" w:rsidRPr="00603299" w:rsidTr="0086007C">
        <w:trPr>
          <w:trHeight w:val="298"/>
        </w:trPr>
        <w:tc>
          <w:tcPr>
            <w:tcW w:w="1850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01.01.2015г.</w:t>
            </w:r>
          </w:p>
        </w:tc>
        <w:tc>
          <w:tcPr>
            <w:tcW w:w="1766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01.04.2015г.</w:t>
            </w:r>
          </w:p>
        </w:tc>
        <w:tc>
          <w:tcPr>
            <w:tcW w:w="1985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01.07.2015г.</w:t>
            </w:r>
          </w:p>
        </w:tc>
        <w:tc>
          <w:tcPr>
            <w:tcW w:w="196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01.10.2015г.</w:t>
            </w:r>
          </w:p>
        </w:tc>
        <w:tc>
          <w:tcPr>
            <w:tcW w:w="185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15.12.2015г.</w:t>
            </w:r>
          </w:p>
        </w:tc>
      </w:tr>
      <w:tr w:rsidR="00603299" w:rsidRPr="00603299" w:rsidTr="0086007C">
        <w:trPr>
          <w:trHeight w:val="298"/>
        </w:trPr>
        <w:tc>
          <w:tcPr>
            <w:tcW w:w="1850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578 151,13</w:t>
            </w:r>
          </w:p>
        </w:tc>
        <w:tc>
          <w:tcPr>
            <w:tcW w:w="1766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813 648,79</w:t>
            </w:r>
          </w:p>
        </w:tc>
        <w:tc>
          <w:tcPr>
            <w:tcW w:w="1985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1 168 571,91</w:t>
            </w:r>
          </w:p>
        </w:tc>
        <w:tc>
          <w:tcPr>
            <w:tcW w:w="196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1 268 069,85</w:t>
            </w:r>
          </w:p>
        </w:tc>
        <w:tc>
          <w:tcPr>
            <w:tcW w:w="185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1 201 146,38</w:t>
            </w:r>
          </w:p>
        </w:tc>
      </w:tr>
    </w:tbl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начислениях за год в сумме 2050,3тыс. рублей, а с учетом задолженности на начало года поступило оплаты на сумму 1427,3 тыс. рублей, собираемость составила 54,3%.</w:t>
      </w: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Претензионная работа по вопросу погашения образовавшейся задолженности проводилась за период 2014-2015 год лишь с четырьмя арендаторами:</w:t>
      </w: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ЭнергоГазИнвест-Тула</w:t>
      </w:r>
      <w:proofErr w:type="spell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03299" w:rsidRPr="00603299" w:rsidRDefault="00603299" w:rsidP="006032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ООО «Ремонт»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КомСервис</w:t>
      </w:r>
      <w:proofErr w:type="spell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03299" w:rsidRPr="00603299" w:rsidRDefault="00603299" w:rsidP="006032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Бурхин А.И.</w:t>
      </w:r>
    </w:p>
    <w:p w:rsidR="00603299" w:rsidRPr="00603299" w:rsidRDefault="00603299" w:rsidP="00370B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Предарбитражные</w:t>
      </w:r>
      <w:proofErr w:type="spell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уведомления направлены в  ОО</w:t>
      </w:r>
      <w:proofErr w:type="gram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О«</w:t>
      </w:r>
      <w:proofErr w:type="spellStart"/>
      <w:proofErr w:type="gram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ЭнергоГазИнвест-Тула</w:t>
      </w:r>
      <w:proofErr w:type="spell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 и ООО «</w:t>
      </w:r>
      <w:proofErr w:type="spell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КомСервис</w:t>
      </w:r>
      <w:proofErr w:type="spell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после чего часть задолженности была погашена. В ООО «Ремонт» и </w:t>
      </w:r>
      <w:proofErr w:type="spellStart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Бурхину</w:t>
      </w:r>
      <w:proofErr w:type="spellEnd"/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направлены претензионные письма, на чем претензионная работа закончена, суммы в погашение задолженности не поступали.</w:t>
      </w:r>
    </w:p>
    <w:p w:rsidR="00603299" w:rsidRPr="00603299" w:rsidRDefault="00370BA5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03299"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адолженность по арендной плате по состоянию на 01.01.2014 года составляла 391,2 тыс. руб., по итогам 2014 года задолженность возросла  до 1109,1 тыс</w:t>
      </w:r>
      <w:proofErr w:type="gramStart"/>
      <w:r w:rsidR="00603299"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603299"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уб. (в 2,8 раза), за текущий год задолженность  составила 3010,3 тыс. руб. или рост в 7,7 раза по сравнению с началом 2014 года, в 2,7 раза по сравнению с данными по состоянию на 15.12.2015 года. </w:t>
      </w: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425" w:type="dxa"/>
        <w:tblLook w:val="04A0"/>
      </w:tblPr>
      <w:tblGrid>
        <w:gridCol w:w="1850"/>
        <w:gridCol w:w="1766"/>
        <w:gridCol w:w="1985"/>
        <w:gridCol w:w="1967"/>
        <w:gridCol w:w="1857"/>
      </w:tblGrid>
      <w:tr w:rsidR="00603299" w:rsidRPr="00603299" w:rsidTr="0086007C">
        <w:trPr>
          <w:trHeight w:val="298"/>
        </w:trPr>
        <w:tc>
          <w:tcPr>
            <w:tcW w:w="1850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01.01.2014г.</w:t>
            </w:r>
          </w:p>
        </w:tc>
        <w:tc>
          <w:tcPr>
            <w:tcW w:w="1766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01.04.2014г.</w:t>
            </w:r>
          </w:p>
        </w:tc>
        <w:tc>
          <w:tcPr>
            <w:tcW w:w="1985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01.07.2014г.</w:t>
            </w:r>
          </w:p>
        </w:tc>
        <w:tc>
          <w:tcPr>
            <w:tcW w:w="196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01.10.2014г.</w:t>
            </w:r>
          </w:p>
        </w:tc>
        <w:tc>
          <w:tcPr>
            <w:tcW w:w="185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01.01.2015г.</w:t>
            </w:r>
          </w:p>
        </w:tc>
      </w:tr>
      <w:tr w:rsidR="00603299" w:rsidRPr="00603299" w:rsidTr="0086007C">
        <w:trPr>
          <w:trHeight w:val="298"/>
        </w:trPr>
        <w:tc>
          <w:tcPr>
            <w:tcW w:w="1850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391245,85</w:t>
            </w:r>
          </w:p>
        </w:tc>
        <w:tc>
          <w:tcPr>
            <w:tcW w:w="1766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655018,19</w:t>
            </w:r>
          </w:p>
        </w:tc>
        <w:tc>
          <w:tcPr>
            <w:tcW w:w="1985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769814,46</w:t>
            </w:r>
          </w:p>
        </w:tc>
        <w:tc>
          <w:tcPr>
            <w:tcW w:w="196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1 078 933,22</w:t>
            </w:r>
          </w:p>
        </w:tc>
        <w:tc>
          <w:tcPr>
            <w:tcW w:w="185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1 109 100,30</w:t>
            </w:r>
          </w:p>
        </w:tc>
      </w:tr>
    </w:tbl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425" w:type="dxa"/>
        <w:tblLook w:val="04A0"/>
      </w:tblPr>
      <w:tblGrid>
        <w:gridCol w:w="1850"/>
        <w:gridCol w:w="1766"/>
        <w:gridCol w:w="1985"/>
        <w:gridCol w:w="1967"/>
        <w:gridCol w:w="1857"/>
      </w:tblGrid>
      <w:tr w:rsidR="00603299" w:rsidRPr="00603299" w:rsidTr="0086007C">
        <w:trPr>
          <w:trHeight w:val="298"/>
        </w:trPr>
        <w:tc>
          <w:tcPr>
            <w:tcW w:w="1850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01.01.2015г.</w:t>
            </w:r>
          </w:p>
        </w:tc>
        <w:tc>
          <w:tcPr>
            <w:tcW w:w="1766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01.04.2015г.</w:t>
            </w:r>
          </w:p>
        </w:tc>
        <w:tc>
          <w:tcPr>
            <w:tcW w:w="1985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01.07.2015г.</w:t>
            </w:r>
          </w:p>
        </w:tc>
        <w:tc>
          <w:tcPr>
            <w:tcW w:w="196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01.10.2015г.</w:t>
            </w:r>
          </w:p>
        </w:tc>
        <w:tc>
          <w:tcPr>
            <w:tcW w:w="185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С-до на 15.12.2015г.</w:t>
            </w:r>
          </w:p>
        </w:tc>
      </w:tr>
      <w:tr w:rsidR="00603299" w:rsidRPr="00603299" w:rsidTr="0086007C">
        <w:trPr>
          <w:trHeight w:val="298"/>
        </w:trPr>
        <w:tc>
          <w:tcPr>
            <w:tcW w:w="1850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1 109 100,30</w:t>
            </w:r>
          </w:p>
        </w:tc>
        <w:tc>
          <w:tcPr>
            <w:tcW w:w="1766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1 440 122,87</w:t>
            </w:r>
          </w:p>
        </w:tc>
        <w:tc>
          <w:tcPr>
            <w:tcW w:w="1985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1 953 667,40</w:t>
            </w:r>
          </w:p>
        </w:tc>
        <w:tc>
          <w:tcPr>
            <w:tcW w:w="196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2 448 686,37</w:t>
            </w:r>
          </w:p>
        </w:tc>
        <w:tc>
          <w:tcPr>
            <w:tcW w:w="1857" w:type="dxa"/>
            <w:hideMark/>
          </w:tcPr>
          <w:p w:rsidR="00603299" w:rsidRPr="00603299" w:rsidRDefault="00603299" w:rsidP="0086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2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3 010 280,22</w:t>
            </w:r>
          </w:p>
        </w:tc>
      </w:tr>
    </w:tbl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01.07.2015 из 266 арендаторов земельных участков 243 арендатора имеют непогашенную задолженность. За истекший период 2015 года (по 15.12.2015г.) поступило платежей 836,7 тыс. рублей, что составляет 75,4% от суммы задолженности на начало года.</w:t>
      </w: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в 2014 году арендной платы в размере 1055,9 тыс. рублей собираемость составила 48,8%.     В 2015 году, по состоянию на 15 декабря поступило лишь 836,7 тыс. рублей, собираемость 21,7%.</w:t>
      </w:r>
    </w:p>
    <w:p w:rsidR="00603299" w:rsidRP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Претензионная работа проводилась в отношении лишь 34 (14,0%) арендаторов, в судебном порядке расторгнут 1 договор на сумму 33,0 тыс. рублей.</w:t>
      </w:r>
    </w:p>
    <w:p w:rsidR="00F65763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Учитывая ту претензионную работу по сбору задолженности за аренду муниципального имущества и земельных участков, учитывая состояние и объемы задолженности по арендной плате, меры по активизации работы по взысканию текущей задолженности по арендным платежам, выставлению пени за нарушение сроков арендной платы предприняты не были. </w:t>
      </w:r>
    </w:p>
    <w:p w:rsidR="00603299" w:rsidRDefault="00603299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Общая сумма задолженности по арендной плате составляет по состоянию на 15.12.2015 года 4211,4 тыс. рублей или  8,8% от суммы налоговых и неналоговых доходов бюджета МО Куркинский район.</w:t>
      </w:r>
    </w:p>
    <w:p w:rsidR="00F65763" w:rsidRDefault="00F65763" w:rsidP="00603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5763" w:rsidRDefault="00A77CBC" w:rsidP="00CF5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CF511F" w:rsidRPr="00353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F511F">
        <w:rPr>
          <w:rFonts w:ascii="Times New Roman" w:hAnsi="Times New Roman" w:cs="Times New Roman"/>
          <w:sz w:val="28"/>
          <w:szCs w:val="28"/>
        </w:rPr>
        <w:t xml:space="preserve"> </w:t>
      </w:r>
      <w:r w:rsidR="00CF511F" w:rsidRPr="00CF511F">
        <w:rPr>
          <w:rFonts w:ascii="Times New Roman" w:hAnsi="Times New Roman" w:cs="Times New Roman"/>
          <w:sz w:val="28"/>
          <w:szCs w:val="28"/>
        </w:rPr>
        <w:t>В рамках соглашения о сотрудничестве с областной Счетной палатой проведено</w:t>
      </w:r>
      <w:r w:rsidR="00CF511F">
        <w:rPr>
          <w:rFonts w:ascii="Times New Roman" w:hAnsi="Times New Roman" w:cs="Times New Roman"/>
          <w:sz w:val="28"/>
          <w:szCs w:val="28"/>
        </w:rPr>
        <w:t xml:space="preserve"> два контрольных мероприятия:</w:t>
      </w:r>
    </w:p>
    <w:p w:rsidR="00CF511F" w:rsidRDefault="00CF511F" w:rsidP="00CF5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11F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Тульской области, направленных на реализацию Закона Тульской области «О наделении органов местного самоуправления государственным полномочием по обеспечению жильем отдельных категорий жителей Тульской области»   за 2014 год и январь-май 2015 года.</w:t>
      </w:r>
    </w:p>
    <w:p w:rsidR="00CF511F" w:rsidRDefault="00CF511F" w:rsidP="00CF511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F511F">
        <w:rPr>
          <w:rFonts w:ascii="Times New Roman" w:hAnsi="Times New Roman" w:cs="Times New Roman"/>
          <w:sz w:val="28"/>
          <w:szCs w:val="28"/>
        </w:rPr>
        <w:t>-</w:t>
      </w:r>
      <w:r w:rsidRPr="00CF511F">
        <w:rPr>
          <w:rFonts w:ascii="Times New Roman" w:hAnsi="Times New Roman" w:cs="Times New Roman"/>
          <w:sz w:val="28"/>
        </w:rPr>
        <w:t>Мониторинг экономической обоснованности бюджетных расходов на закупки, связанные с празднованием Нового 2016 года.</w:t>
      </w:r>
    </w:p>
    <w:p w:rsidR="00CF511F" w:rsidRDefault="00CF511F" w:rsidP="00CF51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вышеуказанных контрольных мероприятий нарушений финансовой дисциплины, организационных установок не выявлено.</w:t>
      </w:r>
    </w:p>
    <w:p w:rsidR="00CF511F" w:rsidRDefault="00CF511F" w:rsidP="00CF511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F511F" w:rsidRDefault="00A77CBC" w:rsidP="00571E73">
      <w:pPr>
        <w:ind w:firstLine="708"/>
        <w:jc w:val="both"/>
        <w:rPr>
          <w:b/>
          <w:sz w:val="36"/>
          <w:szCs w:val="36"/>
        </w:rPr>
      </w:pPr>
      <w:r w:rsidRPr="0035302A">
        <w:rPr>
          <w:rFonts w:ascii="Times New Roman" w:hAnsi="Times New Roman" w:cs="Times New Roman"/>
          <w:b/>
          <w:sz w:val="28"/>
        </w:rPr>
        <w:t>2.</w:t>
      </w:r>
      <w:r w:rsidR="00CF511F" w:rsidRPr="0035302A">
        <w:rPr>
          <w:rFonts w:ascii="Times New Roman" w:hAnsi="Times New Roman" w:cs="Times New Roman"/>
          <w:b/>
          <w:sz w:val="28"/>
        </w:rPr>
        <w:t>4</w:t>
      </w:r>
      <w:r w:rsidR="00CF511F" w:rsidRPr="0035302A">
        <w:rPr>
          <w:rFonts w:ascii="Times New Roman" w:hAnsi="Times New Roman" w:cs="Times New Roman"/>
          <w:b/>
          <w:sz w:val="28"/>
          <w:szCs w:val="28"/>
        </w:rPr>
        <w:t>.</w:t>
      </w:r>
      <w:r w:rsidR="00CF511F" w:rsidRPr="00CF511F">
        <w:rPr>
          <w:rFonts w:ascii="Times New Roman" w:hAnsi="Times New Roman" w:cs="Times New Roman"/>
          <w:sz w:val="28"/>
          <w:szCs w:val="28"/>
        </w:rPr>
        <w:t xml:space="preserve"> </w:t>
      </w:r>
      <w:r w:rsidR="00CF511F">
        <w:rPr>
          <w:rFonts w:ascii="Times New Roman" w:hAnsi="Times New Roman" w:cs="Times New Roman"/>
          <w:sz w:val="28"/>
          <w:szCs w:val="28"/>
        </w:rPr>
        <w:t>П</w:t>
      </w:r>
      <w:r w:rsidR="00CF511F" w:rsidRPr="00CF511F">
        <w:rPr>
          <w:rFonts w:ascii="Times New Roman" w:hAnsi="Times New Roman" w:cs="Times New Roman"/>
          <w:sz w:val="28"/>
          <w:szCs w:val="28"/>
        </w:rPr>
        <w:t>роверк</w:t>
      </w:r>
      <w:r w:rsidR="00CF511F">
        <w:rPr>
          <w:rFonts w:ascii="Times New Roman" w:hAnsi="Times New Roman" w:cs="Times New Roman"/>
          <w:sz w:val="28"/>
          <w:szCs w:val="28"/>
        </w:rPr>
        <w:t>а</w:t>
      </w:r>
      <w:r w:rsidR="00CF511F" w:rsidRPr="00CF511F">
        <w:rPr>
          <w:rFonts w:ascii="Times New Roman" w:hAnsi="Times New Roman" w:cs="Times New Roman"/>
          <w:sz w:val="28"/>
          <w:szCs w:val="28"/>
        </w:rPr>
        <w:t xml:space="preserve">   безвозмездных поступлений в бюджет муниципального образования Куркинский район от муниципального казенного учреждения культуры  Куркинский районный центр культуры  за 2015 год</w:t>
      </w:r>
      <w:r w:rsidR="00CF511F">
        <w:rPr>
          <w:rFonts w:ascii="Times New Roman" w:hAnsi="Times New Roman" w:cs="Times New Roman"/>
          <w:sz w:val="28"/>
          <w:szCs w:val="28"/>
        </w:rPr>
        <w:t xml:space="preserve"> проводилась совместно с финансовым управлением  Администрации МО Куркинский район</w:t>
      </w:r>
      <w:r w:rsidR="00CF511F" w:rsidRPr="00121171">
        <w:rPr>
          <w:b/>
          <w:sz w:val="36"/>
          <w:szCs w:val="36"/>
        </w:rPr>
        <w:t>.</w:t>
      </w:r>
    </w:p>
    <w:p w:rsidR="00571E73" w:rsidRDefault="00571E73" w:rsidP="00571E7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73">
        <w:rPr>
          <w:rFonts w:ascii="Times New Roman" w:hAnsi="Times New Roman" w:cs="Times New Roman"/>
          <w:sz w:val="28"/>
          <w:szCs w:val="28"/>
        </w:rPr>
        <w:t>По итогам проверки руководителю рекомендовано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7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E73" w:rsidRPr="00571E73" w:rsidRDefault="00571E73" w:rsidP="00571E7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E73">
        <w:rPr>
          <w:rFonts w:ascii="Times New Roman" w:hAnsi="Times New Roman" w:cs="Times New Roman"/>
          <w:sz w:val="28"/>
          <w:szCs w:val="28"/>
        </w:rPr>
        <w:t>принять меры к своевременному и полному поступлению сре</w:t>
      </w:r>
      <w:proofErr w:type="gramStart"/>
      <w:r w:rsidRPr="00571E7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571E73">
        <w:rPr>
          <w:rFonts w:ascii="Times New Roman" w:hAnsi="Times New Roman" w:cs="Times New Roman"/>
          <w:sz w:val="28"/>
          <w:szCs w:val="28"/>
        </w:rPr>
        <w:t xml:space="preserve">юджет МО Куркинский район. </w:t>
      </w:r>
    </w:p>
    <w:p w:rsidR="00571E73" w:rsidRDefault="00571E73" w:rsidP="00571E7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571E73">
        <w:rPr>
          <w:rFonts w:ascii="Times New Roman" w:hAnsi="Times New Roman" w:cs="Times New Roman"/>
          <w:sz w:val="28"/>
          <w:szCs w:val="28"/>
        </w:rPr>
        <w:t xml:space="preserve">азначить </w:t>
      </w:r>
      <w:proofErr w:type="gramStart"/>
      <w:r w:rsidRPr="00571E7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71E73">
        <w:rPr>
          <w:rFonts w:ascii="Times New Roman" w:hAnsi="Times New Roman" w:cs="Times New Roman"/>
          <w:sz w:val="28"/>
          <w:szCs w:val="28"/>
        </w:rPr>
        <w:t xml:space="preserve"> за соблюдением финансовой дисциплины. </w:t>
      </w:r>
    </w:p>
    <w:p w:rsidR="00571E73" w:rsidRDefault="00571E73" w:rsidP="00571E7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1E73" w:rsidRDefault="00A77CBC" w:rsidP="00571E73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02A">
        <w:rPr>
          <w:rFonts w:ascii="Times New Roman" w:hAnsi="Times New Roman" w:cs="Times New Roman"/>
          <w:b/>
          <w:sz w:val="28"/>
          <w:szCs w:val="28"/>
        </w:rPr>
        <w:t>2.</w:t>
      </w:r>
      <w:r w:rsidR="00571E73" w:rsidRPr="0035302A">
        <w:rPr>
          <w:rFonts w:ascii="Times New Roman" w:hAnsi="Times New Roman" w:cs="Times New Roman"/>
          <w:b/>
          <w:sz w:val="28"/>
          <w:szCs w:val="28"/>
        </w:rPr>
        <w:t>5.</w:t>
      </w:r>
      <w:r w:rsidR="00571E73" w:rsidRPr="00571E73">
        <w:rPr>
          <w:rFonts w:ascii="Times New Roman" w:hAnsi="Times New Roman" w:cs="Times New Roman"/>
          <w:sz w:val="28"/>
          <w:szCs w:val="28"/>
        </w:rPr>
        <w:t xml:space="preserve"> </w:t>
      </w:r>
      <w:r w:rsidR="00571E73">
        <w:rPr>
          <w:rFonts w:ascii="Times New Roman" w:hAnsi="Times New Roman" w:cs="Times New Roman"/>
          <w:sz w:val="28"/>
          <w:szCs w:val="28"/>
        </w:rPr>
        <w:t>П</w:t>
      </w:r>
      <w:r w:rsidR="00571E73" w:rsidRPr="009818B2">
        <w:rPr>
          <w:rFonts w:ascii="Times New Roman" w:hAnsi="Times New Roman" w:cs="Times New Roman"/>
          <w:sz w:val="28"/>
          <w:szCs w:val="28"/>
        </w:rPr>
        <w:t>роведени</w:t>
      </w:r>
      <w:r w:rsidR="00571E73">
        <w:rPr>
          <w:rFonts w:ascii="Times New Roman" w:hAnsi="Times New Roman" w:cs="Times New Roman"/>
          <w:sz w:val="28"/>
          <w:szCs w:val="28"/>
        </w:rPr>
        <w:t>е</w:t>
      </w:r>
      <w:r w:rsidR="00571E73" w:rsidRPr="009818B2">
        <w:rPr>
          <w:rFonts w:ascii="Times New Roman" w:hAnsi="Times New Roman" w:cs="Times New Roman"/>
          <w:sz w:val="28"/>
          <w:szCs w:val="28"/>
        </w:rPr>
        <w:t xml:space="preserve"> целевой проверки МУК «Ивановский ЦК </w:t>
      </w:r>
      <w:proofErr w:type="gramStart"/>
      <w:r w:rsidR="00571E73" w:rsidRPr="009818B2">
        <w:rPr>
          <w:rFonts w:ascii="Times New Roman" w:hAnsi="Times New Roman" w:cs="Times New Roman"/>
          <w:sz w:val="28"/>
          <w:szCs w:val="28"/>
        </w:rPr>
        <w:t>И БО</w:t>
      </w:r>
      <w:proofErr w:type="gramEnd"/>
      <w:r w:rsidR="00571E73" w:rsidRPr="009818B2">
        <w:rPr>
          <w:rFonts w:ascii="Times New Roman" w:hAnsi="Times New Roman" w:cs="Times New Roman"/>
          <w:sz w:val="28"/>
          <w:szCs w:val="28"/>
        </w:rPr>
        <w:t>» и МКУК «Михайловский центр</w:t>
      </w:r>
      <w:r w:rsidR="00571E73" w:rsidRPr="0089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E73" w:rsidRPr="009818B2">
        <w:rPr>
          <w:rFonts w:ascii="Times New Roman" w:hAnsi="Times New Roman" w:cs="Times New Roman"/>
          <w:sz w:val="28"/>
          <w:szCs w:val="28"/>
        </w:rPr>
        <w:t xml:space="preserve">культуры» по факту неправомерных действий  директора </w:t>
      </w:r>
      <w:proofErr w:type="spellStart"/>
      <w:r w:rsidR="00571E73" w:rsidRPr="009818B2">
        <w:rPr>
          <w:rFonts w:ascii="Times New Roman" w:hAnsi="Times New Roman" w:cs="Times New Roman"/>
          <w:sz w:val="28"/>
          <w:szCs w:val="28"/>
        </w:rPr>
        <w:t>Чукановой</w:t>
      </w:r>
      <w:proofErr w:type="spellEnd"/>
      <w:r w:rsidR="00571E73" w:rsidRPr="009818B2">
        <w:rPr>
          <w:rFonts w:ascii="Times New Roman" w:hAnsi="Times New Roman" w:cs="Times New Roman"/>
          <w:sz w:val="28"/>
          <w:szCs w:val="28"/>
        </w:rPr>
        <w:t xml:space="preserve"> Елены Михайловны</w:t>
      </w:r>
      <w:r w:rsidR="00571E73">
        <w:rPr>
          <w:rFonts w:ascii="Times New Roman" w:hAnsi="Times New Roman" w:cs="Times New Roman"/>
          <w:sz w:val="28"/>
          <w:szCs w:val="28"/>
        </w:rPr>
        <w:t xml:space="preserve"> инициировано Богородицким межрайонным следственным отделом следственного управления Следственного комитета РФ</w:t>
      </w:r>
      <w:r w:rsidR="00571E73" w:rsidRPr="009818B2">
        <w:rPr>
          <w:rFonts w:ascii="Times New Roman" w:hAnsi="Times New Roman" w:cs="Times New Roman"/>
          <w:sz w:val="28"/>
          <w:szCs w:val="28"/>
        </w:rPr>
        <w:t>.</w:t>
      </w:r>
    </w:p>
    <w:p w:rsidR="00571E73" w:rsidRDefault="00571E73" w:rsidP="00571E73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проведенной проверки направлены по месту запроса.</w:t>
      </w:r>
    </w:p>
    <w:p w:rsidR="00602677" w:rsidRDefault="00602677" w:rsidP="00571E73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677" w:rsidRDefault="00A77CBC" w:rsidP="0060267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02A">
        <w:rPr>
          <w:rFonts w:ascii="Times New Roman" w:hAnsi="Times New Roman" w:cs="Times New Roman"/>
          <w:b/>
          <w:sz w:val="28"/>
          <w:szCs w:val="28"/>
        </w:rPr>
        <w:t>2.</w:t>
      </w:r>
      <w:r w:rsidR="00602677" w:rsidRPr="0035302A">
        <w:rPr>
          <w:rFonts w:ascii="Times New Roman" w:hAnsi="Times New Roman" w:cs="Times New Roman"/>
          <w:b/>
          <w:sz w:val="28"/>
          <w:szCs w:val="28"/>
        </w:rPr>
        <w:t>6.</w:t>
      </w:r>
      <w:r w:rsidR="0060267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Плановые проверки" w:history="1">
        <w:r w:rsidR="00602677">
          <w:rPr>
            <w:rFonts w:ascii="Times New Roman" w:hAnsi="Times New Roman" w:cs="Times New Roman"/>
            <w:sz w:val="28"/>
            <w:szCs w:val="28"/>
          </w:rPr>
          <w:t>П</w:t>
        </w:r>
        <w:r w:rsidR="00602677" w:rsidRPr="00602677">
          <w:rPr>
            <w:rStyle w:val="a3"/>
            <w:color w:val="000000" w:themeColor="text1"/>
            <w:sz w:val="28"/>
            <w:szCs w:val="28"/>
          </w:rPr>
          <w:t>роверка</w:t>
        </w:r>
      </w:hyperlink>
      <w:r w:rsidR="00602677"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мероприятий  в рамках программы «Народный бюджет» за 2015  год.</w:t>
      </w:r>
    </w:p>
    <w:p w:rsidR="00602677" w:rsidRDefault="00602677" w:rsidP="00602677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Параллельно</w:t>
      </w:r>
      <w:r w:rsidRPr="0060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Инспекцией Тульской области по государственному архитектурно-строительному надзору проводилась проверка комплекта документов на финансирование выполненных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осуществлялся выезд на объекты с составлением акта соответствия документов с фактическими результатами работ.</w:t>
      </w:r>
    </w:p>
    <w:p w:rsidR="00C4183D" w:rsidRDefault="00602677" w:rsidP="00A77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условий заключенных контрактов на закупку товаров, работ и услуг ни один контракт не  оплачен в установленные договорные сроки, что может привести к предъявлению подрядчиком неустойки за просроченные платежи, а значит к дополнительным непредвиденным расходам бюджета МО Куркинский район.</w:t>
      </w:r>
    </w:p>
    <w:p w:rsidR="00D26B99" w:rsidRDefault="00D26B99" w:rsidP="00A77CBC">
      <w:pPr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35302A" w:rsidRDefault="00D26B99" w:rsidP="00D26B99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</w:t>
      </w:r>
      <w:r w:rsidR="0046167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.</w:t>
      </w:r>
    </w:p>
    <w:p w:rsidR="00D26B99" w:rsidRDefault="00D26B99" w:rsidP="00D26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2015 года  контрольно-</w:t>
      </w:r>
      <w:r w:rsidR="00461673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ревизионная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</w:t>
      </w:r>
      <w:r w:rsidR="004616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35302A" w:rsidRDefault="00D26B99" w:rsidP="0046167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организации эффективного </w:t>
      </w:r>
      <w:r w:rsidR="0046167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внешнего муниципального финансового контроля у</w:t>
      </w:r>
      <w:r w:rsidR="00461673">
        <w:rPr>
          <w:rFonts w:ascii="Times New Roman" w:hAnsi="Times New Roman"/>
          <w:sz w:val="28"/>
          <w:szCs w:val="28"/>
        </w:rPr>
        <w:t>тверждены</w:t>
      </w:r>
      <w:r w:rsidR="0035302A">
        <w:rPr>
          <w:rFonts w:ascii="Times New Roman" w:hAnsi="Times New Roman"/>
          <w:sz w:val="28"/>
          <w:szCs w:val="28"/>
        </w:rPr>
        <w:t>:</w:t>
      </w:r>
    </w:p>
    <w:p w:rsidR="0035302A" w:rsidRDefault="0035302A" w:rsidP="0035302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6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тандарт</w:t>
      </w:r>
      <w:r w:rsidR="00461673" w:rsidRPr="00ED1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46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аудита</w:t>
      </w:r>
      <w:r w:rsidR="00461673" w:rsidRPr="00ED1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461673" w:rsidRPr="00012C10">
        <w:rPr>
          <w:rFonts w:ascii="Times New Roman" w:hAnsi="Times New Roman"/>
          <w:sz w:val="28"/>
          <w:szCs w:val="28"/>
        </w:rPr>
        <w:t xml:space="preserve">  </w:t>
      </w:r>
    </w:p>
    <w:p w:rsidR="00461673" w:rsidRDefault="0035302A" w:rsidP="0035302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61673" w:rsidRPr="00C77F81">
        <w:rPr>
          <w:rFonts w:ascii="Times New Roman" w:hAnsi="Times New Roman"/>
          <w:spacing w:val="-2"/>
          <w:sz w:val="28"/>
          <w:szCs w:val="28"/>
        </w:rPr>
        <w:t xml:space="preserve">тандарт внешнего </w:t>
      </w:r>
      <w:r w:rsidR="00461673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461673" w:rsidRPr="00C77F81">
        <w:rPr>
          <w:rFonts w:ascii="Times New Roman" w:hAnsi="Times New Roman"/>
          <w:spacing w:val="-2"/>
          <w:sz w:val="28"/>
          <w:szCs w:val="28"/>
        </w:rPr>
        <w:t xml:space="preserve">  финансового контроля    «Финансово – экономическая экспертиза  проектов </w:t>
      </w:r>
      <w:r w:rsidR="00461673">
        <w:rPr>
          <w:rFonts w:ascii="Times New Roman" w:hAnsi="Times New Roman"/>
          <w:spacing w:val="-2"/>
          <w:sz w:val="28"/>
          <w:szCs w:val="28"/>
        </w:rPr>
        <w:t xml:space="preserve">муниципальных </w:t>
      </w:r>
      <w:r w:rsidR="00461673" w:rsidRPr="00C77F81">
        <w:rPr>
          <w:rFonts w:ascii="Times New Roman" w:hAnsi="Times New Roman"/>
          <w:spacing w:val="-2"/>
          <w:sz w:val="28"/>
          <w:szCs w:val="28"/>
        </w:rPr>
        <w:t xml:space="preserve"> программ </w:t>
      </w:r>
      <w:r w:rsidR="00461673">
        <w:rPr>
          <w:rFonts w:ascii="Times New Roman" w:hAnsi="Times New Roman"/>
          <w:spacing w:val="-2"/>
          <w:sz w:val="28"/>
          <w:szCs w:val="28"/>
        </w:rPr>
        <w:t>муниципального образования Куркинский район</w:t>
      </w:r>
      <w:r w:rsidR="00461673" w:rsidRPr="00C77F81">
        <w:rPr>
          <w:rFonts w:ascii="Times New Roman" w:hAnsi="Times New Roman"/>
          <w:spacing w:val="-2"/>
          <w:sz w:val="28"/>
          <w:szCs w:val="28"/>
        </w:rPr>
        <w:t>»</w:t>
      </w:r>
    </w:p>
    <w:p w:rsidR="00D26B99" w:rsidRDefault="00D26B99" w:rsidP="00D26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461673" w:rsidRDefault="00D26B99" w:rsidP="00D26B9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странице контрольно</w:t>
      </w:r>
      <w:r w:rsidR="00461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hyperlink r:id="rId6" w:history="1"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kurkino</w:t>
        </w:r>
        <w:proofErr w:type="spellEnd"/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tulobl</w:t>
        </w:r>
        <w:proofErr w:type="spellEnd"/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 w:rsidR="00461673" w:rsidRPr="0035302A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 планы работы контрольно-</w:t>
      </w:r>
      <w:r w:rsidR="00461673" w:rsidRPr="00461673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отчеты о деятельности контрольно-</w:t>
      </w:r>
      <w:r w:rsidR="00461673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D26B99" w:rsidRDefault="00D26B99" w:rsidP="00D26B9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</w:t>
      </w:r>
      <w:r w:rsidR="004616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Федерации, контрольный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  зарегистрирован на Российском Портале КСО в сети Интернет (</w:t>
      </w:r>
      <w:hyperlink r:id="rId7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D26B99" w:rsidRDefault="00D26B99" w:rsidP="0046167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</w:t>
      </w:r>
      <w:r w:rsidR="00461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ревизионной комиссией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оказывалась методическая помощь работникам экономических и бухгалтерских служб администраций </w:t>
      </w:r>
      <w:r w:rsidR="00461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поселений.</w:t>
      </w:r>
    </w:p>
    <w:p w:rsidR="00D26B99" w:rsidRDefault="00D26B99" w:rsidP="0046167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</w:t>
      </w:r>
      <w:r w:rsidR="00461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35302A" w:rsidRDefault="00D26B99" w:rsidP="0046167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</w:t>
      </w:r>
      <w:r w:rsidR="00461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D26B99" w:rsidRDefault="00D26B99" w:rsidP="00D26B99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7CBC" w:rsidRDefault="00A77CBC" w:rsidP="00A77CB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164E" w:rsidRDefault="00A77CBC" w:rsidP="00E92C36">
      <w:pPr>
        <w:shd w:val="clear" w:color="auto" w:fill="FFFFFF"/>
        <w:spacing w:before="100" w:beforeAutospacing="1" w:after="100" w:afterAutospacing="1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sectPr w:rsidR="00D1164E" w:rsidSect="00D1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CC6"/>
    <w:multiLevelType w:val="multilevel"/>
    <w:tmpl w:val="375887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1">
    <w:nsid w:val="1A7A65FA"/>
    <w:multiLevelType w:val="hybridMultilevel"/>
    <w:tmpl w:val="904666FE"/>
    <w:lvl w:ilvl="0" w:tplc="C286403C">
      <w:start w:val="1"/>
      <w:numFmt w:val="decimal"/>
      <w:lvlText w:val="%1)"/>
      <w:lvlJc w:val="left"/>
      <w:pPr>
        <w:ind w:left="1326" w:hanging="540"/>
      </w:pPr>
      <w:rPr>
        <w:rFonts w:eastAsia="Times New Roman"/>
        <w:color w:val="05263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25517"/>
    <w:multiLevelType w:val="hybridMultilevel"/>
    <w:tmpl w:val="1820072C"/>
    <w:lvl w:ilvl="0" w:tplc="D52E02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C95817"/>
    <w:multiLevelType w:val="hybridMultilevel"/>
    <w:tmpl w:val="07F0E212"/>
    <w:lvl w:ilvl="0" w:tplc="5942C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454319"/>
    <w:multiLevelType w:val="hybridMultilevel"/>
    <w:tmpl w:val="A532F324"/>
    <w:lvl w:ilvl="0" w:tplc="E97AA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  <w:b w:val="0"/>
      </w:rPr>
    </w:lvl>
  </w:abstractNum>
  <w:abstractNum w:abstractNumId="6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BBC1FC7"/>
    <w:multiLevelType w:val="hybridMultilevel"/>
    <w:tmpl w:val="045EC972"/>
    <w:lvl w:ilvl="0" w:tplc="2AD0C57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99"/>
    <w:rsid w:val="000F414C"/>
    <w:rsid w:val="0011557F"/>
    <w:rsid w:val="0021182B"/>
    <w:rsid w:val="00312A76"/>
    <w:rsid w:val="0035302A"/>
    <w:rsid w:val="00370BA5"/>
    <w:rsid w:val="00461673"/>
    <w:rsid w:val="00571E73"/>
    <w:rsid w:val="00602677"/>
    <w:rsid w:val="00603299"/>
    <w:rsid w:val="006E739D"/>
    <w:rsid w:val="007748EE"/>
    <w:rsid w:val="008600CA"/>
    <w:rsid w:val="008D0EB2"/>
    <w:rsid w:val="00A52D5D"/>
    <w:rsid w:val="00A77CBC"/>
    <w:rsid w:val="00AA04B1"/>
    <w:rsid w:val="00AB6CAE"/>
    <w:rsid w:val="00B46A78"/>
    <w:rsid w:val="00B87A0A"/>
    <w:rsid w:val="00C40657"/>
    <w:rsid w:val="00C4183D"/>
    <w:rsid w:val="00CA2244"/>
    <w:rsid w:val="00CF511F"/>
    <w:rsid w:val="00D1164E"/>
    <w:rsid w:val="00D132DF"/>
    <w:rsid w:val="00D26B99"/>
    <w:rsid w:val="00D5179D"/>
    <w:rsid w:val="00DE555C"/>
    <w:rsid w:val="00E92C36"/>
    <w:rsid w:val="00F65763"/>
    <w:rsid w:val="00FE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D26B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D26B99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D26B99"/>
    <w:pPr>
      <w:ind w:left="720"/>
      <w:contextualSpacing/>
    </w:pPr>
  </w:style>
  <w:style w:type="character" w:customStyle="1" w:styleId="apple-converted-space">
    <w:name w:val="apple-converted-space"/>
    <w:basedOn w:val="a0"/>
    <w:rsid w:val="00D26B99"/>
  </w:style>
  <w:style w:type="paragraph" w:styleId="a5">
    <w:name w:val="No Spacing"/>
    <w:uiPriority w:val="99"/>
    <w:qFormat/>
    <w:rsid w:val="00603299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table" w:styleId="a6">
    <w:name w:val="Table Grid"/>
    <w:basedOn w:val="a1"/>
    <w:uiPriority w:val="59"/>
    <w:rsid w:val="00603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2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k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kino.tulobl.ru" TargetMode="External"/><Relationship Id="rId5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8</cp:revision>
  <cp:lastPrinted>2016-03-28T07:04:00Z</cp:lastPrinted>
  <dcterms:created xsi:type="dcterms:W3CDTF">2016-01-29T06:20:00Z</dcterms:created>
  <dcterms:modified xsi:type="dcterms:W3CDTF">2016-03-28T09:56:00Z</dcterms:modified>
</cp:coreProperties>
</file>