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65" w:rsidRDefault="00F97965" w:rsidP="00014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</w:p>
    <w:p w:rsidR="00F97965" w:rsidRDefault="00F97965" w:rsidP="00014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</w:p>
    <w:p w:rsidR="00F97965" w:rsidRPr="00281BE7" w:rsidRDefault="00F97965" w:rsidP="00014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281BE7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РОССИЙСКАЯ ФЕДЕРАЦИЯ</w:t>
      </w:r>
    </w:p>
    <w:p w:rsidR="00F97965" w:rsidRPr="00281BE7" w:rsidRDefault="00F97965" w:rsidP="00014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281BE7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Тульская область</w:t>
      </w:r>
    </w:p>
    <w:p w:rsidR="00F97965" w:rsidRPr="00281BE7" w:rsidRDefault="00F97965" w:rsidP="00014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281BE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Контрольно-ревизионная комиссия </w:t>
      </w:r>
    </w:p>
    <w:p w:rsidR="00F97965" w:rsidRDefault="00F97965" w:rsidP="00014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МУНИЦИПАЛЬНОГО ОБРАЗОВАНИЯ </w:t>
      </w:r>
    </w:p>
    <w:p w:rsidR="00F97965" w:rsidRDefault="00F97965" w:rsidP="00014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КУРКИНСКИЙ  РАЙОН</w:t>
      </w:r>
    </w:p>
    <w:p w:rsidR="00F97965" w:rsidRDefault="00F97965" w:rsidP="00014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97965" w:rsidRDefault="00151AEB" w:rsidP="0052718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E5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27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97965" w:rsidRPr="008E5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.08.2019  года </w:t>
      </w:r>
      <w:r w:rsidR="00DA4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АКТ</w:t>
      </w:r>
    </w:p>
    <w:p w:rsidR="00F97965" w:rsidRPr="00EA6E57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97965" w:rsidRDefault="00F97965" w:rsidP="000147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Проверки финансово-хозяйственной деятельности муниципального казенного общеобразовательного учреждения «Андреевская основная общеобразовательная школа» </w:t>
      </w:r>
      <w:proofErr w:type="spellStart"/>
      <w:r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>Куркинского</w:t>
      </w:r>
      <w:proofErr w:type="spellEnd"/>
      <w:r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за период </w:t>
      </w:r>
    </w:p>
    <w:p w:rsidR="00F97965" w:rsidRDefault="00F97965" w:rsidP="006F49F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>с мая  2017 года по июнь 2019г.</w:t>
      </w: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97965" w:rsidRDefault="00F97965" w:rsidP="000147F2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плана работы Контрольно-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ревизионной комиссии муниципального образования Куркинский район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пров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ится </w:t>
      </w:r>
      <w:hyperlink r:id="rId5" w:tooltip="Плановые проверки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плановая проверка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финансово-хозяйственной деятельности 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казенного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образовательного учреждения </w:t>
      </w:r>
      <w:r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«Андреевская основная общеобразовательная школа» </w:t>
      </w:r>
      <w:proofErr w:type="spellStart"/>
      <w:r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>Куркинского</w:t>
      </w:r>
      <w:proofErr w:type="spellEnd"/>
      <w:r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за период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>с мая  2017 года по июнь 2019г.</w:t>
      </w: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начата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65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</w:t>
      </w:r>
      <w:r w:rsidRPr="00151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окончена </w:t>
      </w:r>
      <w:hyperlink r:id="rId6" w:tooltip="29 июня" w:history="1">
        <w:r w:rsidR="00151AEB" w:rsidRPr="00151AEB">
          <w:rPr>
            <w:rFonts w:ascii="Times New Roman" w:hAnsi="Times New Roman" w:cs="Times New Roman"/>
            <w:sz w:val="28"/>
            <w:szCs w:val="28"/>
          </w:rPr>
          <w:t>07</w:t>
        </w:r>
        <w:r w:rsidRPr="00151A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151A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августа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65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151AEB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общеобразовательное учреждение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«Андреевская основная общеобразовательная школа» </w:t>
      </w:r>
      <w:proofErr w:type="spellStart"/>
      <w:r w:rsidR="00F97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F97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7965"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r w:rsidR="00F97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Тульской </w:t>
      </w:r>
      <w:r w:rsidR="00F97965"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="00F97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7965"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по тексту – Школа) - учреждение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основного</w:t>
      </w:r>
      <w:r w:rsidR="00F97965"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Учредителем Школы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муниципального образования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Тульской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функции учредителя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выполняет </w:t>
      </w:r>
      <w:r w:rsidR="00151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 образования Администрации муниципального образования Куркинский район.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Полное наименование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Муниципальное общеобразовательное учреждение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«Андреевская основная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Тульской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краткое наименование – МКОУ «</w:t>
      </w:r>
      <w:r w:rsidR="00151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Андреевская ООШ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Школа зарегистрирована Российская Федерация,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Тульская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0F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село</w:t>
      </w:r>
      <w:r w:rsidR="00151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Андреевка</w:t>
      </w:r>
      <w:r w:rsidR="000F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1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Центральная  дом 64.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фактического нахождения школы соответствует юридическому адресу.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является юридическим лицом, имеет самостоятельный баланс, печать и штампы со своим наименованием, самостоятельно использует имущество, закрепленное за ним на праве оперативного управления.</w:t>
      </w:r>
    </w:p>
    <w:p w:rsidR="00F97965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Школа осуществляла свою деятельность в соответствии с Конституцией РФ, Бюджетным кодексом РФ, федеральным Законом «Об образовании», иными федеральными законами и указами Президента РФ, законами и подзаконными актами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Тульской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области, Типовыми положениями о дошкольном образовательном учреждении, Уставом и локальными </w:t>
      </w:r>
      <w:hyperlink r:id="rId7" w:tooltip="Правовые акты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правовыми актами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школы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«О государственной регистрации юридических лиц» Школа зарегистрирована в Едином государственном реестре юридических лиц за основным государственным регистрационным номером и поставлена на учет в Межрайонной инспекции Федеральной налоговой службы №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Тульской области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составе Единого государственного регистра предприятий и организаций Школа зарегистрирована по общероссийским классификаторам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Имущество Школы является муниципальной собственностью и закреплено за ним на праве оперативного 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(Свидетельство о государственной регистрации права  </w:t>
      </w:r>
      <w:r w:rsidR="00151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06 декабря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151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года)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97965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 </w:t>
      </w:r>
      <w:hyperlink r:id="rId8" w:tooltip="Виды деятельности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видом деятельности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 является реализация </w:t>
      </w:r>
      <w:hyperlink r:id="rId9" w:tooltip="Образовательные программы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образовательных программ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51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 образования.</w:t>
      </w:r>
    </w:p>
    <w:p w:rsidR="00F97965" w:rsidRPr="00FA6549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7965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осуществления финансово-хозяйственной </w:t>
      </w:r>
      <w:hyperlink r:id="rId10" w:tooltip="Деятельность МОУ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деятельности М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</w:t>
        </w:r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ОУ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51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Андреевская </w:t>
      </w:r>
      <w:r w:rsidR="00151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проверяемом периоде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лицевые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финансовом управлении Администрации МО </w:t>
      </w:r>
      <w:r w:rsidR="00AF1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район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97965" w:rsidRPr="00FA6549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Default="00F97965" w:rsidP="000147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лицевой счет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учета движения бюджетных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97965" w:rsidRPr="00FA6549" w:rsidRDefault="00F97965" w:rsidP="000147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лицевой счет  для учета федеральных средств.</w:t>
      </w:r>
    </w:p>
    <w:p w:rsidR="00F97965" w:rsidRPr="00FA6549" w:rsidRDefault="00BC7E68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Бухгалтерский учет ведется  муниципальным казенным учреждением «Централизованная бухгалтерия муниципальных учреждений Муниципального образования Куркинский район»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Предыдущая ревизия финансово-хозяйственной деятельности МОУ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«Андреевская основная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Тульской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проводилась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финансовым управлением Администрации муниципального образования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период с </w:t>
      </w:r>
      <w:r w:rsidR="00BC7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7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BC7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C7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1.Соответствие осуществляемой деятельности организации</w:t>
      </w: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учредительным документам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деятельность осуществляется Школой на основании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лицензии, выданной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Инспекцией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Тульской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надзору и контролю в сфере образования № 0133/01</w:t>
      </w:r>
      <w:r w:rsidR="00BC7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030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22 февраля 201</w:t>
      </w:r>
      <w:r w:rsidR="00BC7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Срок действия лицензии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бессрочно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прошла </w:t>
      </w:r>
      <w:hyperlink r:id="rId11" w:tooltip="Государственная аккредитация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государственную аккредитацию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подтверждено свидетельством о государственной аккредитации серии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 016399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регистрационный номер </w:t>
      </w:r>
      <w:r w:rsidR="00BC7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№016629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выданным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Инспекцией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Тульской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надзору и контролю в сфере образования </w:t>
      </w:r>
      <w:r w:rsidR="00BC7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7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BC7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года, срок действия по 22.03.2024 года.</w:t>
      </w:r>
    </w:p>
    <w:p w:rsidR="00F97965" w:rsidRPr="00FA6549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установленным статусом Школа реализует образовательные программы </w:t>
      </w:r>
      <w:r w:rsidR="00BC7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начального </w:t>
      </w:r>
      <w:r w:rsidR="00BC7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tooltip="Профессиональное образование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образования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C7E68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Плановая наполняемость учреждения </w:t>
      </w:r>
      <w:r w:rsidR="000F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чел, ф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приказам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колы </w:t>
      </w:r>
      <w:r w:rsidR="000F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ученика.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2.Наличие смет доходов и расходов, обоснованность расчетов</w:t>
      </w: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сметных назначений.</w:t>
      </w: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разрезе предметных статей утверждены начальником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:rsidR="00A84C9B" w:rsidRDefault="00F97965" w:rsidP="000147F2">
      <w:pPr>
        <w:pStyle w:val="s3"/>
        <w:spacing w:after="0"/>
        <w:ind w:firstLine="360"/>
        <w:jc w:val="both"/>
        <w:rPr>
          <w:bCs/>
          <w:color w:val="000000"/>
          <w:sz w:val="28"/>
          <w:szCs w:val="28"/>
        </w:rPr>
      </w:pPr>
      <w:r w:rsidRPr="00FA6549">
        <w:rPr>
          <w:color w:val="000000" w:themeColor="text1"/>
          <w:sz w:val="28"/>
          <w:szCs w:val="28"/>
        </w:rPr>
        <w:t xml:space="preserve">Уведомления об уточненных лимитах бюджетных обязательств </w:t>
      </w:r>
      <w:r>
        <w:rPr>
          <w:color w:val="000000" w:themeColor="text1"/>
          <w:sz w:val="28"/>
          <w:szCs w:val="28"/>
        </w:rPr>
        <w:t xml:space="preserve"> в</w:t>
      </w:r>
      <w:r w:rsidRPr="00FA6549">
        <w:rPr>
          <w:color w:val="000000" w:themeColor="text1"/>
          <w:sz w:val="28"/>
          <w:szCs w:val="28"/>
        </w:rPr>
        <w:t xml:space="preserve"> разрезе предметных статей </w:t>
      </w:r>
      <w:r>
        <w:rPr>
          <w:color w:val="000000" w:themeColor="text1"/>
          <w:sz w:val="28"/>
          <w:szCs w:val="28"/>
        </w:rPr>
        <w:t>до учреждения доводились</w:t>
      </w:r>
      <w:r w:rsidRPr="00FA6549">
        <w:rPr>
          <w:color w:val="000000" w:themeColor="text1"/>
          <w:sz w:val="28"/>
          <w:szCs w:val="28"/>
        </w:rPr>
        <w:t>.</w:t>
      </w:r>
      <w:r w:rsidR="00A84C9B" w:rsidRPr="00A84C9B">
        <w:rPr>
          <w:color w:val="000000" w:themeColor="text1"/>
          <w:sz w:val="28"/>
          <w:szCs w:val="28"/>
        </w:rPr>
        <w:t xml:space="preserve"> </w:t>
      </w:r>
      <w:proofErr w:type="gramStart"/>
      <w:r w:rsidR="00A84C9B" w:rsidRPr="00F9646C">
        <w:rPr>
          <w:color w:val="000000" w:themeColor="text1"/>
          <w:sz w:val="28"/>
          <w:szCs w:val="28"/>
        </w:rPr>
        <w:t>В</w:t>
      </w:r>
      <w:r w:rsidR="00A84C9B">
        <w:rPr>
          <w:color w:val="000000" w:themeColor="text1"/>
          <w:sz w:val="28"/>
          <w:szCs w:val="28"/>
        </w:rPr>
        <w:t xml:space="preserve"> соответствии с пунктом 11 статьи IV </w:t>
      </w:r>
      <w:r w:rsidR="00A84C9B" w:rsidRPr="00F9646C">
        <w:rPr>
          <w:bCs/>
          <w:color w:val="000000"/>
          <w:sz w:val="28"/>
          <w:szCs w:val="28"/>
        </w:rPr>
        <w:t>Общи</w:t>
      </w:r>
      <w:r w:rsidR="00A84C9B">
        <w:rPr>
          <w:bCs/>
          <w:color w:val="000000"/>
          <w:sz w:val="28"/>
          <w:szCs w:val="28"/>
        </w:rPr>
        <w:t xml:space="preserve">х </w:t>
      </w:r>
      <w:r w:rsidR="00A84C9B" w:rsidRPr="00F9646C">
        <w:rPr>
          <w:bCs/>
          <w:color w:val="000000"/>
          <w:sz w:val="28"/>
          <w:szCs w:val="28"/>
        </w:rPr>
        <w:t>требовани</w:t>
      </w:r>
      <w:r w:rsidR="00A84C9B">
        <w:rPr>
          <w:bCs/>
          <w:color w:val="000000"/>
          <w:sz w:val="28"/>
          <w:szCs w:val="28"/>
        </w:rPr>
        <w:t xml:space="preserve">й </w:t>
      </w:r>
      <w:r w:rsidR="00A84C9B" w:rsidRPr="00F9646C">
        <w:rPr>
          <w:bCs/>
          <w:color w:val="000000"/>
          <w:sz w:val="28"/>
          <w:szCs w:val="28"/>
        </w:rPr>
        <w:t>к порядку составления, утверждения и ведения бюджетной сметы казенного учреждения</w:t>
      </w:r>
      <w:r w:rsidR="00A84C9B">
        <w:rPr>
          <w:bCs/>
          <w:color w:val="000000"/>
          <w:sz w:val="28"/>
          <w:szCs w:val="28"/>
        </w:rPr>
        <w:t xml:space="preserve"> </w:t>
      </w:r>
      <w:r w:rsidR="00A84C9B" w:rsidRPr="00F9646C">
        <w:rPr>
          <w:bCs/>
          <w:color w:val="000000"/>
          <w:sz w:val="28"/>
          <w:szCs w:val="28"/>
        </w:rPr>
        <w:t>(утв. </w:t>
      </w:r>
      <w:hyperlink r:id="rId13" w:history="1">
        <w:r w:rsidR="00A84C9B" w:rsidRPr="00F9646C">
          <w:rPr>
            <w:bCs/>
            <w:color w:val="000000" w:themeColor="text1"/>
            <w:sz w:val="28"/>
            <w:szCs w:val="28"/>
          </w:rPr>
          <w:t>приказом</w:t>
        </w:r>
      </w:hyperlink>
      <w:r w:rsidR="00A84C9B" w:rsidRPr="00F9646C">
        <w:rPr>
          <w:bCs/>
          <w:color w:val="000000"/>
          <w:sz w:val="28"/>
          <w:szCs w:val="28"/>
        </w:rPr>
        <w:t> Минфина РФ от 20 ноября 2007 г. N 112н)</w:t>
      </w:r>
      <w:r w:rsidR="00A84C9B">
        <w:rPr>
          <w:bCs/>
          <w:color w:val="000000"/>
          <w:sz w:val="28"/>
          <w:szCs w:val="28"/>
        </w:rPr>
        <w:t xml:space="preserve">  в</w:t>
      </w:r>
      <w:r w:rsidR="00A84C9B" w:rsidRPr="00F9646C">
        <w:rPr>
          <w:bCs/>
          <w:color w:val="000000"/>
          <w:sz w:val="28"/>
          <w:szCs w:val="28"/>
        </w:rPr>
        <w:t>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"минус",:</w:t>
      </w:r>
      <w:proofErr w:type="gramEnd"/>
    </w:p>
    <w:p w:rsidR="00A84C9B" w:rsidRDefault="00A84C9B" w:rsidP="000147F2">
      <w:pPr>
        <w:pStyle w:val="s3"/>
        <w:spacing w:after="0"/>
        <w:ind w:firstLine="360"/>
        <w:jc w:val="both"/>
        <w:rPr>
          <w:bCs/>
          <w:color w:val="000000"/>
          <w:sz w:val="28"/>
          <w:szCs w:val="28"/>
        </w:rPr>
      </w:pPr>
      <w:r w:rsidRPr="00F9646C">
        <w:rPr>
          <w:bCs/>
          <w:color w:val="000000"/>
          <w:sz w:val="28"/>
          <w:szCs w:val="28"/>
        </w:rPr>
        <w:lastRenderedPageBreak/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A84C9B" w:rsidRPr="00F9646C" w:rsidRDefault="00A84C9B" w:rsidP="000147F2">
      <w:pPr>
        <w:pStyle w:val="s3"/>
        <w:spacing w:after="0"/>
        <w:ind w:firstLine="360"/>
        <w:jc w:val="both"/>
        <w:rPr>
          <w:bCs/>
          <w:color w:val="000000"/>
          <w:sz w:val="28"/>
          <w:szCs w:val="28"/>
        </w:rPr>
      </w:pPr>
      <w:r w:rsidRPr="00F9646C">
        <w:rPr>
          <w:bCs/>
          <w:color w:val="000000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F9646C">
        <w:rPr>
          <w:bCs/>
          <w:color w:val="00000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F9646C">
        <w:rPr>
          <w:bCs/>
          <w:color w:val="000000"/>
          <w:sz w:val="28"/>
          <w:szCs w:val="28"/>
        </w:rPr>
        <w:t xml:space="preserve"> и лимитов бюджетных обязательств;</w:t>
      </w:r>
    </w:p>
    <w:p w:rsidR="00A84C9B" w:rsidRPr="00F9646C" w:rsidRDefault="00A84C9B" w:rsidP="000147F2">
      <w:pPr>
        <w:pStyle w:val="s3"/>
        <w:spacing w:after="0"/>
        <w:ind w:firstLine="360"/>
        <w:jc w:val="both"/>
        <w:rPr>
          <w:bCs/>
          <w:color w:val="000000"/>
          <w:sz w:val="28"/>
          <w:szCs w:val="28"/>
        </w:rPr>
      </w:pPr>
      <w:r w:rsidRPr="00F9646C">
        <w:rPr>
          <w:bCs/>
          <w:color w:val="000000"/>
          <w:sz w:val="28"/>
          <w:szCs w:val="28"/>
        </w:rPr>
        <w:t xml:space="preserve">изменяющих распределение сметных назначений, не требующих изменения </w:t>
      </w:r>
      <w:proofErr w:type="gramStart"/>
      <w:r w:rsidRPr="00F9646C">
        <w:rPr>
          <w:bCs/>
          <w:color w:val="00000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F9646C">
        <w:rPr>
          <w:bCs/>
          <w:color w:val="000000"/>
          <w:sz w:val="28"/>
          <w:szCs w:val="28"/>
        </w:rPr>
        <w:t xml:space="preserve"> и утвержденного объема лимитов бюджетных обязательств;</w:t>
      </w:r>
    </w:p>
    <w:p w:rsidR="00A84C9B" w:rsidRPr="00F9646C" w:rsidRDefault="00A84C9B" w:rsidP="000147F2">
      <w:pPr>
        <w:pStyle w:val="s3"/>
        <w:spacing w:after="0"/>
        <w:ind w:firstLine="360"/>
        <w:jc w:val="both"/>
        <w:rPr>
          <w:bCs/>
          <w:color w:val="000000"/>
          <w:sz w:val="28"/>
          <w:szCs w:val="28"/>
        </w:rPr>
      </w:pPr>
      <w:proofErr w:type="gramStart"/>
      <w:r w:rsidRPr="00F9646C">
        <w:rPr>
          <w:bCs/>
          <w:color w:val="000000"/>
          <w:sz w:val="28"/>
          <w:szCs w:val="28"/>
        </w:rPr>
        <w:t>изменяющих распределение сметных назначений по дополнительным кодам аналитических показателей, установленным в соответствии с пунктом 4 настоящих Общих требований,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  <w:proofErr w:type="gramEnd"/>
    </w:p>
    <w:p w:rsidR="00A84C9B" w:rsidRDefault="00A84C9B" w:rsidP="000147F2">
      <w:pPr>
        <w:pStyle w:val="s3"/>
        <w:spacing w:after="0"/>
        <w:ind w:firstLine="360"/>
        <w:jc w:val="both"/>
        <w:rPr>
          <w:bCs/>
          <w:color w:val="000000"/>
          <w:sz w:val="28"/>
          <w:szCs w:val="28"/>
        </w:rPr>
      </w:pPr>
      <w:r w:rsidRPr="00F9646C">
        <w:rPr>
          <w:bCs/>
          <w:color w:val="000000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A84C9B" w:rsidRDefault="00A84C9B" w:rsidP="000147F2">
      <w:pPr>
        <w:pStyle w:val="s3"/>
        <w:spacing w:after="0"/>
        <w:ind w:firstLine="360"/>
        <w:jc w:val="both"/>
        <w:rPr>
          <w:bCs/>
          <w:color w:val="000000"/>
          <w:sz w:val="28"/>
          <w:szCs w:val="28"/>
        </w:rPr>
      </w:pPr>
      <w:r w:rsidRPr="00F9646C">
        <w:rPr>
          <w:bCs/>
          <w:color w:val="000000"/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пункта 6 настоящих Общих требований.</w:t>
      </w:r>
    </w:p>
    <w:p w:rsidR="00F97965" w:rsidRPr="00FA6549" w:rsidRDefault="00A84C9B" w:rsidP="000147F2">
      <w:pPr>
        <w:pStyle w:val="s3"/>
        <w:spacing w:after="0"/>
        <w:ind w:firstLine="360"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нарушение вышеуказанных требований сметы </w:t>
      </w:r>
      <w:r w:rsidR="00512848">
        <w:rPr>
          <w:bCs/>
          <w:color w:val="000000"/>
          <w:sz w:val="28"/>
          <w:szCs w:val="28"/>
        </w:rPr>
        <w:t xml:space="preserve">за 2017- 2018 год </w:t>
      </w:r>
      <w:r>
        <w:rPr>
          <w:bCs/>
          <w:color w:val="000000"/>
          <w:sz w:val="28"/>
          <w:szCs w:val="28"/>
        </w:rPr>
        <w:t>представлены в первоначально утвержденных объемах, т.е. без внесения в них изменений в течение финансового года по итогам внесения изменений в бюджет МО Куркинский район решением Собрания представителей МО Куркинский район.</w:t>
      </w:r>
      <w:r w:rsidR="00F97965">
        <w:rPr>
          <w:color w:val="000000" w:themeColor="text1"/>
          <w:sz w:val="28"/>
          <w:szCs w:val="28"/>
        </w:rPr>
        <w:t xml:space="preserve"> 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Финансирование деятельности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«Андреевская основная общеобразовательная школа» 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осуществлялось за счет средств бюджета по главе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образования Администрации муниципального образования Куркинский район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главному разделу и подразделу 0702 «Общее образование»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97965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Общая сумма </w:t>
      </w:r>
      <w:r w:rsidR="00CE0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лимитов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финансирования </w:t>
      </w:r>
      <w:r w:rsidR="00CE0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F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составила </w:t>
      </w:r>
      <w:r w:rsidR="00CE0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5871503,22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числе: финансирование за счет средств бюджета </w:t>
      </w:r>
      <w:r w:rsidR="00CE0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5783021,63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или </w:t>
      </w:r>
      <w:r w:rsidR="00CE0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,5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утвержденных лимитов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65" w:rsidRPr="00FA6549" w:rsidRDefault="00CE0C3F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Общая сумма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лимитов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финансирования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составила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6301495,38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числе: финансирование за счет средств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восстановления 6189966,61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98,2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утвержденных лимитов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Кассовое исполнение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истекший период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0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(1 полугодие)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CE0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составило </w:t>
      </w:r>
      <w:r w:rsidR="00CE0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3477285,87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CE0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53,1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утвержденных лимитов</w:t>
      </w:r>
      <w:r w:rsidR="00CE0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(6552098,3 рублей)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97965" w:rsidRPr="00FA6549" w:rsidRDefault="00DC0EBE" w:rsidP="000147F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tooltip="Сайт знакомств с возможностью продвижения анкеты" w:history="1"/>
      <w:r w:rsidR="00F97965">
        <w:t xml:space="preserve"> </w:t>
      </w: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3.Использование бюджетных средств по целевому назначению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Проверкой целевого использования средств, выделенных из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июня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94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94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1-м полугодии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894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</w:t>
      </w:r>
      <w:r w:rsidR="00894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«Андреевская основная общеобразовательная школа»,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проведенной сплошным методом, нарушений не установлено.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Расходование средств бюджета осуществлялось в соответствии с Указаниями о порядке применения бюджетной классификации РФ, утвержденными приказами Минфи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России от 01.07.2013г. N65н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Бюджетным кодексом Российской Федерации.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бюджетных средств по элементам расходов соответствует условиям получения средств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Проверкой целевого использования средств бюджета, полученных в кассу Школы, в части обоснованности отнесения произведенных расходов по предметным статьям, целевым статьям и видам расходов, нарушений не установлено.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67E3A" w:rsidRDefault="00215D5C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Целевые средства поступали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15D5C" w:rsidRDefault="00215D5C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ФЗ  РФ «Об образовании»</w:t>
      </w:r>
      <w:r w:rsidR="0065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15D5C" w:rsidRPr="00215D5C" w:rsidRDefault="00215D5C" w:rsidP="00215D5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15D5C">
        <w:rPr>
          <w:rFonts w:ascii="Times New Roman" w:hAnsi="Times New Roman" w:cs="Times New Roman"/>
          <w:bCs/>
          <w:color w:val="000000"/>
          <w:sz w:val="28"/>
          <w:szCs w:val="28"/>
        </w:rPr>
        <w:t>ЗТО «О наделении полномочий по предоставлению социальной поддержки педагогическим и иным работникам»</w:t>
      </w:r>
      <w:r w:rsidR="0065701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15D5C" w:rsidRDefault="00215D5C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5D5C">
        <w:rPr>
          <w:rFonts w:ascii="Times New Roman" w:hAnsi="Times New Roman" w:cs="Times New Roman"/>
          <w:bCs/>
          <w:color w:val="000000"/>
          <w:sz w:val="28"/>
          <w:szCs w:val="28"/>
        </w:rPr>
        <w:t>ЗТО «О наделении полномочий по дополнительному финансированию питания»</w:t>
      </w:r>
      <w:r w:rsidR="0065701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5701D" w:rsidRPr="0065701D" w:rsidRDefault="0065701D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0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5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70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образования в муниципальном образовании Куркинский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5701D" w:rsidRPr="0065701D" w:rsidRDefault="0065701D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701D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демографической ситуации и поддержка семей, воспитывающих детей, в муниципальном образовании Куркинский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4.Соблюдение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hyperlink r:id="rId15" w:tooltip="Законы в России" w:history="1">
        <w:r w:rsidRPr="00FA654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законодательства Российской Федерации</w:t>
        </w:r>
      </w:hyperlink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gramStart"/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размещении</w:t>
      </w:r>
      <w:proofErr w:type="gramEnd"/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заказов на поставки товаров,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hyperlink r:id="rId16" w:tooltip="Выполнение работ" w:history="1">
        <w:r w:rsidRPr="00FA654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выполнение работ</w:t>
        </w:r>
      </w:hyperlink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оказание услуг для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муниципальных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нужд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4141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соблюдения законодательства Российской Федерации при размещении заказов на поставку товаров, выполнение работ, оказание услуг для государственных нужд проведена выборочным методом </w:t>
      </w:r>
      <w:r w:rsidR="00894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1 полугодие </w:t>
      </w:r>
      <w:r w:rsidR="00894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2019 года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44-ФЗ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контрактной системе в сфере закупок товаров, работ, услуг для обеспечения государственных, муниципальных нужд </w:t>
      </w:r>
      <w:r w:rsidR="00894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Закон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894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F97965" w:rsidRPr="00FA6549" w:rsidRDefault="00894141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Предыдущая проверка  проведена финансовым управлением Администрации МО Куркинский район за период  с июля 2017 года  по декабрь 2018года.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 уполномочена осуществлять функции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заказчика при размещении заказов на поставки товаров, выполнение работ, оказание услуг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нужд.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ст. 38 Закона приказом №</w:t>
      </w:r>
      <w:r w:rsidR="00894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78/1</w:t>
      </w:r>
      <w:r w:rsidR="00014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30.12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014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назначен контрактный управляющий </w:t>
      </w:r>
      <w:r w:rsidR="00014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Прошина Н.В.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директор  МКОУ «</w:t>
      </w:r>
      <w:r w:rsidR="00014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АООШ».</w:t>
      </w:r>
    </w:p>
    <w:p w:rsidR="00F97965" w:rsidRPr="00ED254D" w:rsidRDefault="00F97965" w:rsidP="000147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54D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№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закупок;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</w:t>
      </w:r>
    </w:p>
    <w:p w:rsidR="00F97965" w:rsidRPr="00A41682" w:rsidRDefault="00F97965" w:rsidP="000147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682">
        <w:rPr>
          <w:rFonts w:ascii="Times New Roman" w:hAnsi="Times New Roman" w:cs="Times New Roman"/>
          <w:sz w:val="28"/>
          <w:szCs w:val="28"/>
        </w:rPr>
        <w:t xml:space="preserve">Документ о наличии дополнительного профессионального образования в сфере закупок </w:t>
      </w:r>
      <w:r w:rsidR="000147F2">
        <w:rPr>
          <w:rFonts w:ascii="Times New Roman" w:hAnsi="Times New Roman" w:cs="Times New Roman"/>
          <w:sz w:val="28"/>
          <w:szCs w:val="28"/>
        </w:rPr>
        <w:t>Прошиной Н.В.</w:t>
      </w:r>
      <w:r w:rsidR="00CE0C3F">
        <w:rPr>
          <w:rFonts w:ascii="Times New Roman" w:hAnsi="Times New Roman" w:cs="Times New Roman"/>
          <w:sz w:val="28"/>
          <w:szCs w:val="28"/>
        </w:rPr>
        <w:t xml:space="preserve"> выдан ООО «Центр повышения квалификации»  24.05.2019г  по программе «Управление государственными и муниципальными закупками по контрактной системе» в объеме 144 часа</w:t>
      </w:r>
      <w:r w:rsidR="00A67CE2">
        <w:rPr>
          <w:rFonts w:ascii="Times New Roman" w:hAnsi="Times New Roman" w:cs="Times New Roman"/>
          <w:sz w:val="28"/>
          <w:szCs w:val="28"/>
        </w:rPr>
        <w:t>.</w:t>
      </w:r>
      <w:r w:rsidRPr="00A41682">
        <w:rPr>
          <w:rFonts w:ascii="Times New Roman" w:hAnsi="Times New Roman" w:cs="Times New Roman"/>
          <w:sz w:val="28"/>
          <w:szCs w:val="28"/>
        </w:rPr>
        <w:t xml:space="preserve"> </w:t>
      </w:r>
      <w:r w:rsidR="000147F2">
        <w:rPr>
          <w:rFonts w:ascii="Times New Roman" w:hAnsi="Times New Roman" w:cs="Times New Roman"/>
          <w:sz w:val="28"/>
          <w:szCs w:val="28"/>
        </w:rPr>
        <w:t xml:space="preserve">Осуществление закупок в учреждении осуществляется специалистом </w:t>
      </w:r>
      <w:proofErr w:type="spellStart"/>
      <w:r w:rsidR="000147F2">
        <w:rPr>
          <w:rFonts w:ascii="Times New Roman" w:hAnsi="Times New Roman" w:cs="Times New Roman"/>
          <w:sz w:val="28"/>
          <w:szCs w:val="28"/>
        </w:rPr>
        <w:t>Маркеевой</w:t>
      </w:r>
      <w:proofErr w:type="spellEnd"/>
      <w:r w:rsidR="000147F2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F97965" w:rsidRDefault="00F97965" w:rsidP="000147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682">
        <w:rPr>
          <w:rFonts w:ascii="Times New Roman" w:hAnsi="Times New Roman" w:cs="Times New Roman"/>
          <w:sz w:val="28"/>
          <w:szCs w:val="28"/>
        </w:rPr>
        <w:t>В соответствии с пунктом 5 ст. 161 Бюджетного кодекса Российской Федерации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от имени Российской Федерации, субъекта Российской Федерации, муниципального образования в пределах доведенных казенному учреждению лимитов бюджетных обязательств, если иное не установлено настоящим Кодексом, и с учетом принятых и неисполненных обязательств.</w:t>
      </w:r>
      <w:proofErr w:type="gramEnd"/>
    </w:p>
    <w:p w:rsidR="00F97965" w:rsidRPr="00F478DC" w:rsidRDefault="00F97965" w:rsidP="000147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8DC">
        <w:rPr>
          <w:rFonts w:ascii="Times New Roman" w:hAnsi="Times New Roman" w:cs="Times New Roman"/>
          <w:sz w:val="28"/>
          <w:szCs w:val="28"/>
        </w:rPr>
        <w:t xml:space="preserve">Согласно статье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</w:t>
      </w:r>
      <w:r w:rsidRPr="00F478D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нужд порядке, и оплачиваются в пределах лимитов бюджетных обязательств. </w:t>
      </w:r>
      <w:proofErr w:type="gramEnd"/>
    </w:p>
    <w:p w:rsidR="00F97965" w:rsidRDefault="00F97965" w:rsidP="000147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9F7">
        <w:rPr>
          <w:sz w:val="28"/>
          <w:szCs w:val="28"/>
        </w:rPr>
        <w:t xml:space="preserve">В </w:t>
      </w:r>
      <w:r w:rsidRPr="00F478DC">
        <w:rPr>
          <w:rFonts w:ascii="Times New Roman" w:hAnsi="Times New Roman" w:cs="Times New Roman"/>
          <w:sz w:val="28"/>
          <w:szCs w:val="28"/>
        </w:rPr>
        <w:t xml:space="preserve">соответствии со статьей 112 Федерального закона № 44-ФЗ заказчики размещают на официальном сайте в сфере закупок услуг планы-графики размещения заказов на </w:t>
      </w:r>
      <w:r w:rsidR="000147F2">
        <w:rPr>
          <w:rFonts w:ascii="Times New Roman" w:hAnsi="Times New Roman" w:cs="Times New Roman"/>
          <w:sz w:val="28"/>
          <w:szCs w:val="28"/>
        </w:rPr>
        <w:t xml:space="preserve">2019 </w:t>
      </w:r>
      <w:r w:rsidRPr="00F478DC">
        <w:rPr>
          <w:rFonts w:ascii="Times New Roman" w:hAnsi="Times New Roman" w:cs="Times New Roman"/>
          <w:sz w:val="28"/>
          <w:szCs w:val="28"/>
        </w:rPr>
        <w:t xml:space="preserve"> </w:t>
      </w:r>
      <w:r w:rsidR="000147F2">
        <w:rPr>
          <w:rFonts w:ascii="Times New Roman" w:hAnsi="Times New Roman" w:cs="Times New Roman"/>
          <w:sz w:val="28"/>
          <w:szCs w:val="28"/>
        </w:rPr>
        <w:t xml:space="preserve">год </w:t>
      </w:r>
      <w:r w:rsidRPr="00F478DC">
        <w:rPr>
          <w:rFonts w:ascii="Times New Roman" w:hAnsi="Times New Roman" w:cs="Times New Roman"/>
          <w:sz w:val="28"/>
          <w:szCs w:val="28"/>
        </w:rPr>
        <w:t>по правилам, действовавшим до дня вступления в силу Федерального закона № 44-ФЗ. План-график подлежит размещению на официальном сайте не позднее одного календарного месяца после принятия закона (решения) о бюджете.</w:t>
      </w:r>
    </w:p>
    <w:p w:rsidR="00F97965" w:rsidRDefault="00F97965" w:rsidP="000147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8DC">
        <w:rPr>
          <w:rFonts w:ascii="Times New Roman" w:hAnsi="Times New Roman" w:cs="Times New Roman"/>
          <w:sz w:val="28"/>
          <w:szCs w:val="28"/>
        </w:rPr>
        <w:t>Бюджет МО Куркинский район на 201</w:t>
      </w:r>
      <w:r w:rsidR="000147F2">
        <w:rPr>
          <w:rFonts w:ascii="Times New Roman" w:hAnsi="Times New Roman" w:cs="Times New Roman"/>
          <w:sz w:val="28"/>
          <w:szCs w:val="28"/>
        </w:rPr>
        <w:t>9</w:t>
      </w:r>
      <w:r w:rsidRPr="00F478DC">
        <w:rPr>
          <w:rFonts w:ascii="Times New Roman" w:hAnsi="Times New Roman" w:cs="Times New Roman"/>
          <w:sz w:val="28"/>
          <w:szCs w:val="28"/>
        </w:rPr>
        <w:t xml:space="preserve"> год принят решени</w:t>
      </w:r>
      <w:r w:rsidR="00D50C02">
        <w:rPr>
          <w:rFonts w:ascii="Times New Roman" w:hAnsi="Times New Roman" w:cs="Times New Roman"/>
          <w:sz w:val="28"/>
          <w:szCs w:val="28"/>
        </w:rPr>
        <w:t>ем Собрания представителей МО Кур</w:t>
      </w:r>
      <w:r w:rsidRPr="00F478DC">
        <w:rPr>
          <w:rFonts w:ascii="Times New Roman" w:hAnsi="Times New Roman" w:cs="Times New Roman"/>
          <w:sz w:val="28"/>
          <w:szCs w:val="28"/>
        </w:rPr>
        <w:t>кинский район от 2</w:t>
      </w:r>
      <w:r w:rsidR="000147F2">
        <w:rPr>
          <w:rFonts w:ascii="Times New Roman" w:hAnsi="Times New Roman" w:cs="Times New Roman"/>
          <w:sz w:val="28"/>
          <w:szCs w:val="28"/>
        </w:rPr>
        <w:t>1</w:t>
      </w:r>
      <w:r w:rsidRPr="00F478DC">
        <w:rPr>
          <w:rFonts w:ascii="Times New Roman" w:hAnsi="Times New Roman" w:cs="Times New Roman"/>
          <w:sz w:val="28"/>
          <w:szCs w:val="28"/>
        </w:rPr>
        <w:t>.12.201</w:t>
      </w:r>
      <w:r w:rsidR="000147F2">
        <w:rPr>
          <w:rFonts w:ascii="Times New Roman" w:hAnsi="Times New Roman" w:cs="Times New Roman"/>
          <w:sz w:val="28"/>
          <w:szCs w:val="28"/>
        </w:rPr>
        <w:t>8</w:t>
      </w:r>
      <w:r w:rsidRPr="00F478D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50C02">
        <w:rPr>
          <w:rFonts w:ascii="Times New Roman" w:hAnsi="Times New Roman" w:cs="Times New Roman"/>
          <w:sz w:val="28"/>
          <w:szCs w:val="28"/>
        </w:rPr>
        <w:t>3</w:t>
      </w:r>
      <w:r w:rsidRPr="00F478DC">
        <w:rPr>
          <w:rFonts w:ascii="Times New Roman" w:hAnsi="Times New Roman" w:cs="Times New Roman"/>
          <w:sz w:val="28"/>
          <w:szCs w:val="28"/>
        </w:rPr>
        <w:t>-1 «О бюджете муниципального образования Куркинский район на 201</w:t>
      </w:r>
      <w:r w:rsidR="00D50C02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F478DC">
        <w:rPr>
          <w:rFonts w:ascii="Times New Roman" w:hAnsi="Times New Roman" w:cs="Times New Roman"/>
          <w:sz w:val="28"/>
          <w:szCs w:val="28"/>
        </w:rPr>
        <w:t xml:space="preserve"> и 20</w:t>
      </w:r>
      <w:r w:rsidR="00D50C02">
        <w:rPr>
          <w:rFonts w:ascii="Times New Roman" w:hAnsi="Times New Roman" w:cs="Times New Roman"/>
          <w:sz w:val="28"/>
          <w:szCs w:val="28"/>
        </w:rPr>
        <w:t>21</w:t>
      </w:r>
      <w:r w:rsidRPr="00F478DC">
        <w:rPr>
          <w:rFonts w:ascii="Times New Roman" w:hAnsi="Times New Roman" w:cs="Times New Roman"/>
          <w:sz w:val="28"/>
          <w:szCs w:val="28"/>
        </w:rPr>
        <w:t xml:space="preserve"> годов», который вступил в силу с 1 января 201</w:t>
      </w:r>
      <w:r w:rsidR="00D50C02">
        <w:rPr>
          <w:rFonts w:ascii="Times New Roman" w:hAnsi="Times New Roman" w:cs="Times New Roman"/>
          <w:sz w:val="28"/>
          <w:szCs w:val="28"/>
        </w:rPr>
        <w:t>9</w:t>
      </w:r>
      <w:r w:rsidRPr="00F478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0C02" w:rsidRDefault="00D50C02" w:rsidP="00D50C0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закупок товаров работ и услуг для обеспечения нужд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«А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ндреевская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ООШ»  на 2019 год и на плановый период 2020 и 2021 годов размешен 11.01.2019 года. </w:t>
      </w:r>
      <w:r w:rsidR="00503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изменений проведено 06.02.2019 года и 12.02. 2019 года.</w:t>
      </w:r>
    </w:p>
    <w:p w:rsidR="00D50C02" w:rsidRDefault="00F97965" w:rsidP="000147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81">
        <w:rPr>
          <w:rFonts w:ascii="Times New Roman" w:hAnsi="Times New Roman" w:cs="Times New Roman"/>
          <w:sz w:val="28"/>
          <w:szCs w:val="28"/>
        </w:rPr>
        <w:t>План - график размещения заказов на поставки товаров, выполнение работ, оказание услуг для обеспечения государственных и муниципальных нужд на 201</w:t>
      </w:r>
      <w:r w:rsidR="00D50C02">
        <w:rPr>
          <w:rFonts w:ascii="Times New Roman" w:hAnsi="Times New Roman" w:cs="Times New Roman"/>
          <w:sz w:val="28"/>
          <w:szCs w:val="28"/>
        </w:rPr>
        <w:t>9</w:t>
      </w:r>
      <w:r w:rsidRPr="00672F81">
        <w:rPr>
          <w:rFonts w:ascii="Times New Roman" w:hAnsi="Times New Roman" w:cs="Times New Roman"/>
          <w:sz w:val="28"/>
          <w:szCs w:val="28"/>
        </w:rPr>
        <w:t xml:space="preserve"> год Школой  размещен на официальном сайте в сфере закупок </w:t>
      </w:r>
      <w:r w:rsidR="00D50C02">
        <w:rPr>
          <w:rFonts w:ascii="Times New Roman" w:hAnsi="Times New Roman" w:cs="Times New Roman"/>
          <w:sz w:val="28"/>
          <w:szCs w:val="28"/>
        </w:rPr>
        <w:t>14.01.2019</w:t>
      </w:r>
      <w:r w:rsidRPr="00672F81">
        <w:rPr>
          <w:rFonts w:ascii="Times New Roman" w:hAnsi="Times New Roman" w:cs="Times New Roman"/>
          <w:sz w:val="28"/>
          <w:szCs w:val="28"/>
        </w:rPr>
        <w:t>года</w:t>
      </w:r>
      <w:r w:rsidR="00D50C02">
        <w:rPr>
          <w:rFonts w:ascii="Times New Roman" w:hAnsi="Times New Roman" w:cs="Times New Roman"/>
          <w:sz w:val="28"/>
          <w:szCs w:val="28"/>
        </w:rPr>
        <w:t>.</w:t>
      </w:r>
      <w:r w:rsidRPr="00672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A1" w:rsidRDefault="005031A1" w:rsidP="000147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первое полугодие </w:t>
      </w:r>
      <w:r w:rsidR="00A67CE2">
        <w:rPr>
          <w:rFonts w:ascii="Times New Roman" w:hAnsi="Times New Roman" w:cs="Times New Roman"/>
          <w:sz w:val="28"/>
          <w:szCs w:val="28"/>
        </w:rPr>
        <w:t xml:space="preserve">2019г 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67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A67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п.4 и п. 5 ст. 93 </w:t>
      </w:r>
      <w:r w:rsidRPr="00F478DC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 на сумму 767819,05 рублей.</w:t>
      </w:r>
    </w:p>
    <w:p w:rsidR="00E34502" w:rsidRDefault="00E34502" w:rsidP="000147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июня 2019 года заключен контракт № 0366200035619002291 на ремонт кровли и фронтонов в здании МКОУ «Андреевская ООШ» на сумму 928002,81 рублей. Заказчиком данного контракта является Администрация МО Куркинский район. Подрядчиком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итогам электронного аукциона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РемстройАльянс</w:t>
      </w:r>
      <w:proofErr w:type="spellEnd"/>
      <w:r>
        <w:rPr>
          <w:rFonts w:ascii="Times New Roman" w:hAnsi="Times New Roman" w:cs="Times New Roman"/>
          <w:sz w:val="28"/>
          <w:szCs w:val="28"/>
        </w:rPr>
        <w:t>». Акт приемки выполненных работ подписан 29.07.2019 года</w:t>
      </w:r>
      <w:r w:rsidR="002E1123">
        <w:rPr>
          <w:rFonts w:ascii="Times New Roman" w:hAnsi="Times New Roman" w:cs="Times New Roman"/>
          <w:sz w:val="28"/>
          <w:szCs w:val="28"/>
        </w:rPr>
        <w:t>, по условиям контракта – 01.11.2019 года. На момент проверки оплачено 196736,60 (01.08.2019г) рублей собственных средств бюджета МО Куркинский район. Первоначальная стоимость в соответствии со сметой составляла 1104920,78 рублей. Экономия по итогам электронного аукциона составила 176917,97 рублей.</w:t>
      </w:r>
    </w:p>
    <w:p w:rsidR="00D03809" w:rsidRDefault="00D03809" w:rsidP="000147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809" w:rsidRDefault="00792DD8" w:rsidP="00CF6E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статей 34 и 94 </w:t>
      </w:r>
      <w:r w:rsidRPr="00F478DC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CF6E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проверке заключенных договоров на приобретение продуктов питания</w:t>
      </w:r>
      <w:r w:rsidR="00CF6E38">
        <w:rPr>
          <w:rFonts w:ascii="Times New Roman" w:hAnsi="Times New Roman" w:cs="Times New Roman"/>
          <w:sz w:val="28"/>
          <w:szCs w:val="28"/>
        </w:rPr>
        <w:t>,</w:t>
      </w:r>
      <w:r w:rsidR="00EE4823">
        <w:rPr>
          <w:rFonts w:ascii="Times New Roman" w:hAnsi="Times New Roman" w:cs="Times New Roman"/>
          <w:sz w:val="28"/>
          <w:szCs w:val="28"/>
        </w:rPr>
        <w:t xml:space="preserve"> выявлены существенные отклонения от заявленных в приложении к договору объемов закупки </w:t>
      </w:r>
      <w:r w:rsidR="006F49FD">
        <w:rPr>
          <w:rFonts w:ascii="Times New Roman" w:hAnsi="Times New Roman" w:cs="Times New Roman"/>
          <w:sz w:val="28"/>
          <w:szCs w:val="28"/>
        </w:rPr>
        <w:t xml:space="preserve">и их цены </w:t>
      </w:r>
      <w:r w:rsidR="00EE4823">
        <w:rPr>
          <w:rFonts w:ascii="Times New Roman" w:hAnsi="Times New Roman" w:cs="Times New Roman"/>
          <w:sz w:val="28"/>
          <w:szCs w:val="28"/>
        </w:rPr>
        <w:t>от фактически приобретенных по товарной накладной.</w:t>
      </w:r>
      <w:r w:rsidR="00CF6E38">
        <w:rPr>
          <w:rFonts w:ascii="Times New Roman" w:hAnsi="Times New Roman" w:cs="Times New Roman"/>
          <w:sz w:val="28"/>
          <w:szCs w:val="28"/>
        </w:rPr>
        <w:t xml:space="preserve"> </w:t>
      </w:r>
      <w:r w:rsidR="006F49FD">
        <w:rPr>
          <w:rFonts w:ascii="Times New Roman" w:hAnsi="Times New Roman" w:cs="Times New Roman"/>
          <w:sz w:val="28"/>
          <w:szCs w:val="28"/>
        </w:rPr>
        <w:t xml:space="preserve">В контракте №1/19 от 24.01.2019г сахар песок заявлен по 35,0 рублей за кг., </w:t>
      </w:r>
      <w:proofErr w:type="gramStart"/>
      <w:r w:rsidR="006F49F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6F49FD">
        <w:rPr>
          <w:rFonts w:ascii="Times New Roman" w:hAnsi="Times New Roman" w:cs="Times New Roman"/>
          <w:sz w:val="28"/>
          <w:szCs w:val="28"/>
        </w:rPr>
        <w:t xml:space="preserve"> ни в одной накладной он не был отпущен по указанной цене.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6ABB" w:rsidTr="00036ABB">
        <w:tc>
          <w:tcPr>
            <w:tcW w:w="2392" w:type="dxa"/>
          </w:tcPr>
          <w:p w:rsidR="00036ABB" w:rsidRDefault="00036AB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товара</w:t>
            </w:r>
          </w:p>
        </w:tc>
        <w:tc>
          <w:tcPr>
            <w:tcW w:w="2393" w:type="dxa"/>
          </w:tcPr>
          <w:p w:rsidR="00036ABB" w:rsidRDefault="00036AB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Заявлено по контракту,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036ABB" w:rsidRDefault="00036AB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Отпущено по накладной,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036ABB" w:rsidRDefault="00036AB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</w:tc>
      </w:tr>
      <w:tr w:rsidR="00036ABB" w:rsidTr="00036ABB">
        <w:tc>
          <w:tcPr>
            <w:tcW w:w="2392" w:type="dxa"/>
          </w:tcPr>
          <w:p w:rsidR="00036ABB" w:rsidRDefault="00036AB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(тушка ЦБ)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13,267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18,000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+4,733</w:t>
            </w:r>
          </w:p>
        </w:tc>
      </w:tr>
      <w:tr w:rsidR="00036ABB" w:rsidTr="00036ABB">
        <w:tc>
          <w:tcPr>
            <w:tcW w:w="2392" w:type="dxa"/>
          </w:tcPr>
          <w:p w:rsidR="00036ABB" w:rsidRDefault="00036AB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44,000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13,130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-30,870</w:t>
            </w:r>
          </w:p>
        </w:tc>
      </w:tr>
      <w:tr w:rsidR="00036ABB" w:rsidTr="00036ABB">
        <w:tc>
          <w:tcPr>
            <w:tcW w:w="2392" w:type="dxa"/>
          </w:tcPr>
          <w:p w:rsidR="00036ABB" w:rsidRDefault="00036AB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2,075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3,925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+1,850</w:t>
            </w:r>
          </w:p>
        </w:tc>
      </w:tr>
      <w:tr w:rsidR="00036ABB" w:rsidTr="00036ABB">
        <w:tc>
          <w:tcPr>
            <w:tcW w:w="2392" w:type="dxa"/>
          </w:tcPr>
          <w:p w:rsidR="00036ABB" w:rsidRDefault="00036AB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Манка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0,500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2,120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+1,620</w:t>
            </w:r>
          </w:p>
        </w:tc>
      </w:tr>
      <w:tr w:rsidR="00036ABB" w:rsidTr="00036ABB">
        <w:tc>
          <w:tcPr>
            <w:tcW w:w="2392" w:type="dxa"/>
          </w:tcPr>
          <w:p w:rsidR="00036ABB" w:rsidRDefault="00036AB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24,200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14,000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-10,200</w:t>
            </w:r>
          </w:p>
        </w:tc>
      </w:tr>
      <w:tr w:rsidR="00036ABB" w:rsidTr="00036ABB">
        <w:tc>
          <w:tcPr>
            <w:tcW w:w="2392" w:type="dxa"/>
          </w:tcPr>
          <w:p w:rsidR="00036ABB" w:rsidRDefault="00036AB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3,320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-3,320</w:t>
            </w:r>
          </w:p>
        </w:tc>
      </w:tr>
      <w:tr w:rsidR="00036ABB" w:rsidTr="00036ABB">
        <w:tc>
          <w:tcPr>
            <w:tcW w:w="2392" w:type="dxa"/>
          </w:tcPr>
          <w:p w:rsidR="00036ABB" w:rsidRDefault="00036AB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1,030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0,390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-0,640</w:t>
            </w:r>
          </w:p>
        </w:tc>
      </w:tr>
      <w:tr w:rsidR="00036ABB" w:rsidTr="00036ABB">
        <w:tc>
          <w:tcPr>
            <w:tcW w:w="2392" w:type="dxa"/>
          </w:tcPr>
          <w:p w:rsidR="00036ABB" w:rsidRDefault="00036AB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36ABB" w:rsidRDefault="00036ABB" w:rsidP="0003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ABB" w:rsidRDefault="00036ABB" w:rsidP="00CF6E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809" w:rsidRDefault="00036ABB" w:rsidP="00CF6E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заключенных договоров на закупку продуктов питания превышает сумму полученных товаров по накладным на </w:t>
      </w:r>
      <w:r w:rsidR="00DB671E">
        <w:rPr>
          <w:rFonts w:ascii="Times New Roman" w:hAnsi="Times New Roman" w:cs="Times New Roman"/>
          <w:sz w:val="28"/>
          <w:szCs w:val="28"/>
        </w:rPr>
        <w:t>11,6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DB671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376" w:type="dxa"/>
        <w:tblLook w:val="04A0"/>
      </w:tblPr>
      <w:tblGrid>
        <w:gridCol w:w="1397"/>
        <w:gridCol w:w="1476"/>
        <w:gridCol w:w="1266"/>
        <w:gridCol w:w="1541"/>
        <w:gridCol w:w="1557"/>
        <w:gridCol w:w="2139"/>
      </w:tblGrid>
      <w:tr w:rsidR="008042C4" w:rsidTr="008042C4">
        <w:trPr>
          <w:trHeight w:val="314"/>
        </w:trPr>
        <w:tc>
          <w:tcPr>
            <w:tcW w:w="1399" w:type="dxa"/>
            <w:vMerge w:val="restart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gridSpan w:val="2"/>
            <w:tcBorders>
              <w:bottom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накладной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8042C4" w:rsidTr="008042C4">
        <w:trPr>
          <w:trHeight w:val="329"/>
        </w:trPr>
        <w:tc>
          <w:tcPr>
            <w:tcW w:w="1399" w:type="dxa"/>
            <w:vMerge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8042C4" w:rsidRDefault="008042C4" w:rsidP="00036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042C4" w:rsidRDefault="008042C4" w:rsidP="00036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:rsidR="008042C4" w:rsidRDefault="008042C4" w:rsidP="00036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8042C4" w:rsidRDefault="008042C4" w:rsidP="00036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C0D85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804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10001,0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580,00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14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A34FCB" w:rsidP="00A34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11961,46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1131,00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14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562,60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14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1131,00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14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128,00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14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870,00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3900,98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3657,87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январь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21962,46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11961,44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01.02.2019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18811,84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870,0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348,0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870,0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C4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348,0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C4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179,07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C4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160,20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C4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760,73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C4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8230,46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1E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7045,58</w:t>
            </w:r>
          </w:p>
        </w:tc>
        <w:tc>
          <w:tcPr>
            <w:tcW w:w="2143" w:type="dxa"/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2C4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8042C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8042C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18811,84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42C4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18812,04</w:t>
            </w:r>
          </w:p>
        </w:tc>
        <w:tc>
          <w:tcPr>
            <w:tcW w:w="2143" w:type="dxa"/>
          </w:tcPr>
          <w:p w:rsidR="008042C4" w:rsidRDefault="008042C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январь-февраль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40774,3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C0D85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30773,48</w:t>
            </w:r>
          </w:p>
        </w:tc>
        <w:tc>
          <w:tcPr>
            <w:tcW w:w="2143" w:type="dxa"/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0D4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01.03.2019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16055,32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8732,0</w:t>
            </w:r>
          </w:p>
        </w:tc>
        <w:tc>
          <w:tcPr>
            <w:tcW w:w="2143" w:type="dxa"/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0D4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6498,32</w:t>
            </w:r>
          </w:p>
        </w:tc>
        <w:tc>
          <w:tcPr>
            <w:tcW w:w="2143" w:type="dxa"/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ABB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036ABB" w:rsidRDefault="00036AB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036ABB" w:rsidRDefault="00036AB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036ABB" w:rsidRDefault="00036AB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036ABB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6ABB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602,25</w:t>
            </w:r>
          </w:p>
        </w:tc>
        <w:tc>
          <w:tcPr>
            <w:tcW w:w="2143" w:type="dxa"/>
          </w:tcPr>
          <w:p w:rsidR="00036ABB" w:rsidRDefault="00036AB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1E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222,75</w:t>
            </w:r>
          </w:p>
        </w:tc>
        <w:tc>
          <w:tcPr>
            <w:tcW w:w="2143" w:type="dxa"/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0D4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март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16055,32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50D4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16055,32</w:t>
            </w:r>
          </w:p>
        </w:tc>
        <w:tc>
          <w:tcPr>
            <w:tcW w:w="2143" w:type="dxa"/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январь-март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56829,62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C0D85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46828,8</w:t>
            </w:r>
          </w:p>
        </w:tc>
        <w:tc>
          <w:tcPr>
            <w:tcW w:w="2143" w:type="dxa"/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0D4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A850D4" w:rsidRDefault="00A34FCB" w:rsidP="00DB6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7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481,74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388,7</w:t>
            </w:r>
          </w:p>
        </w:tc>
        <w:tc>
          <w:tcPr>
            <w:tcW w:w="2143" w:type="dxa"/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0D4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711,3</w:t>
            </w:r>
          </w:p>
        </w:tc>
        <w:tc>
          <w:tcPr>
            <w:tcW w:w="2143" w:type="dxa"/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0D4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2043,74</w:t>
            </w:r>
          </w:p>
        </w:tc>
        <w:tc>
          <w:tcPr>
            <w:tcW w:w="2143" w:type="dxa"/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0D4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9024,0</w:t>
            </w:r>
          </w:p>
        </w:tc>
        <w:tc>
          <w:tcPr>
            <w:tcW w:w="2143" w:type="dxa"/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1E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11314,00</w:t>
            </w:r>
          </w:p>
        </w:tc>
        <w:tc>
          <w:tcPr>
            <w:tcW w:w="2143" w:type="dxa"/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0D4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A850D4" w:rsidRDefault="00A34FCB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апрель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A850D4" w:rsidRDefault="00A34FCB" w:rsidP="00DB6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7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481,74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50D4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23481,74</w:t>
            </w:r>
          </w:p>
        </w:tc>
        <w:tc>
          <w:tcPr>
            <w:tcW w:w="2143" w:type="dxa"/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январь-апрель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C0D85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BC0D85">
              <w:rPr>
                <w:rFonts w:ascii="Times New Roman" w:hAnsi="Times New Roman" w:cs="Times New Roman"/>
                <w:sz w:val="28"/>
                <w:szCs w:val="28"/>
              </w:rPr>
              <w:t>311,36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C0D85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70310,54</w:t>
            </w:r>
          </w:p>
        </w:tc>
        <w:tc>
          <w:tcPr>
            <w:tcW w:w="2143" w:type="dxa"/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0D4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A850D4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850D4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A850D4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15711,6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A850D4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50D4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275,85</w:t>
            </w:r>
          </w:p>
        </w:tc>
        <w:tc>
          <w:tcPr>
            <w:tcW w:w="2143" w:type="dxa"/>
          </w:tcPr>
          <w:p w:rsidR="00A850D4" w:rsidRDefault="00A850D4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714,15</w:t>
            </w:r>
          </w:p>
        </w:tc>
        <w:tc>
          <w:tcPr>
            <w:tcW w:w="2143" w:type="dxa"/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3211,75</w:t>
            </w:r>
          </w:p>
        </w:tc>
        <w:tc>
          <w:tcPr>
            <w:tcW w:w="2143" w:type="dxa"/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3388,25</w:t>
            </w:r>
          </w:p>
        </w:tc>
        <w:tc>
          <w:tcPr>
            <w:tcW w:w="2143" w:type="dxa"/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1E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8121,6</w:t>
            </w:r>
          </w:p>
        </w:tc>
        <w:tc>
          <w:tcPr>
            <w:tcW w:w="2143" w:type="dxa"/>
          </w:tcPr>
          <w:p w:rsidR="00DB671E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май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15711,6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C0D85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15711,6</w:t>
            </w:r>
          </w:p>
        </w:tc>
        <w:tc>
          <w:tcPr>
            <w:tcW w:w="2143" w:type="dxa"/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85" w:rsidTr="008042C4">
        <w:trPr>
          <w:trHeight w:val="329"/>
        </w:trPr>
        <w:tc>
          <w:tcPr>
            <w:tcW w:w="1399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январь-май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C0D85" w:rsidRDefault="00BC0D85" w:rsidP="00DB6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67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022,96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BC0D85" w:rsidRDefault="00BC0D85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C0D85" w:rsidRDefault="00DB671E" w:rsidP="00DB6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86022,14</w:t>
            </w:r>
          </w:p>
        </w:tc>
        <w:tc>
          <w:tcPr>
            <w:tcW w:w="2143" w:type="dxa"/>
          </w:tcPr>
          <w:p w:rsidR="00BC0D85" w:rsidRDefault="00DB671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10000,82</w:t>
            </w:r>
          </w:p>
        </w:tc>
      </w:tr>
    </w:tbl>
    <w:p w:rsidR="00CF6E38" w:rsidRDefault="00F54894" w:rsidP="00CF6E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4894" w:rsidRDefault="00F54894" w:rsidP="00CF6E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в накладной из магазина отпускаются в соответствии с накопительной ведомостью за определенный месяц, что не соответствует действительности. Нельзя в магазине  получить соль 675 гр., масло сливочное 2025 гр., яйцо 25 шт., 92 шт.,16 шт.;  молоко 8,05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r w:rsidR="000B5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B5C59">
        <w:rPr>
          <w:rFonts w:ascii="Times New Roman" w:hAnsi="Times New Roman" w:cs="Times New Roman"/>
          <w:sz w:val="28"/>
          <w:szCs w:val="28"/>
        </w:rPr>
        <w:t>масло растительное 2,76 кг., 0,69 кг., и т.д.</w:t>
      </w:r>
    </w:p>
    <w:p w:rsidR="000B5C59" w:rsidRDefault="009E1E0E" w:rsidP="00CF6E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правильности списания  продуктов питания выявлено несоответствие  количества продукта по меню с итоговым количеством данного продукта по накопительной ведомости (например – сахар).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E1E0E" w:rsidTr="009E1E0E">
        <w:tc>
          <w:tcPr>
            <w:tcW w:w="2392" w:type="dxa"/>
          </w:tcPr>
          <w:p w:rsidR="009E1E0E" w:rsidRDefault="009E1E0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списания</w:t>
            </w:r>
          </w:p>
        </w:tc>
        <w:tc>
          <w:tcPr>
            <w:tcW w:w="2393" w:type="dxa"/>
          </w:tcPr>
          <w:p w:rsidR="009E1E0E" w:rsidRDefault="009E1E0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накопительной</w:t>
            </w:r>
            <w:proofErr w:type="gramEnd"/>
          </w:p>
        </w:tc>
        <w:tc>
          <w:tcPr>
            <w:tcW w:w="2393" w:type="dxa"/>
          </w:tcPr>
          <w:p w:rsidR="009E1E0E" w:rsidRDefault="009E1E0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 меню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«+», «-«, </w:t>
            </w:r>
          </w:p>
        </w:tc>
      </w:tr>
      <w:tr w:rsidR="009E1E0E" w:rsidTr="009E1E0E">
        <w:tc>
          <w:tcPr>
            <w:tcW w:w="2392" w:type="dxa"/>
          </w:tcPr>
          <w:p w:rsidR="009E1E0E" w:rsidRDefault="009E1E0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2017г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19,400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17,320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+2,080</w:t>
            </w:r>
          </w:p>
        </w:tc>
      </w:tr>
      <w:tr w:rsidR="009E1E0E" w:rsidTr="009E1E0E">
        <w:tc>
          <w:tcPr>
            <w:tcW w:w="2392" w:type="dxa"/>
          </w:tcPr>
          <w:p w:rsidR="009E1E0E" w:rsidRDefault="009E1E0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2017г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16,800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14,280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+2,520</w:t>
            </w:r>
          </w:p>
        </w:tc>
      </w:tr>
      <w:tr w:rsidR="009E1E0E" w:rsidTr="009E1E0E">
        <w:tc>
          <w:tcPr>
            <w:tcW w:w="2392" w:type="dxa"/>
          </w:tcPr>
          <w:p w:rsidR="009E1E0E" w:rsidRDefault="009E1E0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2018г 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18,160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16,940</w:t>
            </w:r>
          </w:p>
        </w:tc>
        <w:tc>
          <w:tcPr>
            <w:tcW w:w="2393" w:type="dxa"/>
          </w:tcPr>
          <w:p w:rsidR="009E1E0E" w:rsidRDefault="009E1E0E" w:rsidP="0047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+1,2</w:t>
            </w:r>
            <w:r w:rsidR="00472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1E0E" w:rsidTr="009E1E0E">
        <w:tc>
          <w:tcPr>
            <w:tcW w:w="2392" w:type="dxa"/>
          </w:tcPr>
          <w:p w:rsidR="009E1E0E" w:rsidRDefault="009E1E0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2018г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15,700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14,680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+1,020</w:t>
            </w:r>
          </w:p>
        </w:tc>
      </w:tr>
      <w:tr w:rsidR="009E1E0E" w:rsidTr="009E1E0E">
        <w:tc>
          <w:tcPr>
            <w:tcW w:w="2392" w:type="dxa"/>
          </w:tcPr>
          <w:p w:rsidR="009E1E0E" w:rsidRDefault="009E1E0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2018г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10,960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12,260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-1,300</w:t>
            </w:r>
          </w:p>
        </w:tc>
      </w:tr>
      <w:tr w:rsidR="009E1E0E" w:rsidTr="009E1E0E">
        <w:tc>
          <w:tcPr>
            <w:tcW w:w="2392" w:type="dxa"/>
          </w:tcPr>
          <w:p w:rsidR="009E1E0E" w:rsidRDefault="009E1E0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2018г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12,040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12,060</w:t>
            </w:r>
          </w:p>
        </w:tc>
        <w:tc>
          <w:tcPr>
            <w:tcW w:w="2393" w:type="dxa"/>
          </w:tcPr>
          <w:p w:rsidR="009E1E0E" w:rsidRDefault="00472569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1E0E">
              <w:rPr>
                <w:rFonts w:ascii="Times New Roman" w:hAnsi="Times New Roman" w:cs="Times New Roman"/>
                <w:sz w:val="28"/>
                <w:szCs w:val="28"/>
              </w:rPr>
              <w:t>0,020</w:t>
            </w:r>
          </w:p>
        </w:tc>
      </w:tr>
      <w:tr w:rsidR="009E1E0E" w:rsidTr="009E1E0E">
        <w:tc>
          <w:tcPr>
            <w:tcW w:w="2392" w:type="dxa"/>
          </w:tcPr>
          <w:p w:rsidR="009E1E0E" w:rsidRDefault="009E1E0E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2018г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9,900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9,180</w:t>
            </w:r>
          </w:p>
        </w:tc>
        <w:tc>
          <w:tcPr>
            <w:tcW w:w="2393" w:type="dxa"/>
          </w:tcPr>
          <w:p w:rsidR="009E1E0E" w:rsidRDefault="009E1E0E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+0,720</w:t>
            </w:r>
          </w:p>
        </w:tc>
      </w:tr>
      <w:tr w:rsidR="009E1E0E" w:rsidTr="009E1E0E">
        <w:tc>
          <w:tcPr>
            <w:tcW w:w="2392" w:type="dxa"/>
          </w:tcPr>
          <w:p w:rsidR="009E1E0E" w:rsidRDefault="00472569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2019г</w:t>
            </w:r>
          </w:p>
        </w:tc>
        <w:tc>
          <w:tcPr>
            <w:tcW w:w="2393" w:type="dxa"/>
          </w:tcPr>
          <w:p w:rsidR="009E1E0E" w:rsidRDefault="00472569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11,280</w:t>
            </w:r>
          </w:p>
        </w:tc>
        <w:tc>
          <w:tcPr>
            <w:tcW w:w="2393" w:type="dxa"/>
          </w:tcPr>
          <w:p w:rsidR="009E1E0E" w:rsidRDefault="00472569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11,780</w:t>
            </w:r>
          </w:p>
        </w:tc>
        <w:tc>
          <w:tcPr>
            <w:tcW w:w="2393" w:type="dxa"/>
          </w:tcPr>
          <w:p w:rsidR="009E1E0E" w:rsidRDefault="00472569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-0,500</w:t>
            </w:r>
          </w:p>
        </w:tc>
      </w:tr>
      <w:tr w:rsidR="00472569" w:rsidTr="009E1E0E">
        <w:tc>
          <w:tcPr>
            <w:tcW w:w="2392" w:type="dxa"/>
          </w:tcPr>
          <w:p w:rsidR="00472569" w:rsidRDefault="00472569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2019г</w:t>
            </w:r>
          </w:p>
        </w:tc>
        <w:tc>
          <w:tcPr>
            <w:tcW w:w="2393" w:type="dxa"/>
          </w:tcPr>
          <w:p w:rsidR="00472569" w:rsidRDefault="00472569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6,200</w:t>
            </w:r>
          </w:p>
        </w:tc>
        <w:tc>
          <w:tcPr>
            <w:tcW w:w="2393" w:type="dxa"/>
          </w:tcPr>
          <w:p w:rsidR="00472569" w:rsidRDefault="00472569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5,880</w:t>
            </w:r>
          </w:p>
        </w:tc>
        <w:tc>
          <w:tcPr>
            <w:tcW w:w="2393" w:type="dxa"/>
          </w:tcPr>
          <w:p w:rsidR="00472569" w:rsidRDefault="00472569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+0,320</w:t>
            </w:r>
          </w:p>
        </w:tc>
      </w:tr>
      <w:tr w:rsidR="00472569" w:rsidTr="009E1E0E">
        <w:tc>
          <w:tcPr>
            <w:tcW w:w="2392" w:type="dxa"/>
          </w:tcPr>
          <w:p w:rsidR="00472569" w:rsidRDefault="00472569" w:rsidP="00CF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472569" w:rsidRDefault="00472569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120,440</w:t>
            </w:r>
          </w:p>
        </w:tc>
        <w:tc>
          <w:tcPr>
            <w:tcW w:w="2393" w:type="dxa"/>
          </w:tcPr>
          <w:p w:rsidR="00472569" w:rsidRDefault="00472569" w:rsidP="009E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114,380</w:t>
            </w:r>
          </w:p>
        </w:tc>
        <w:tc>
          <w:tcPr>
            <w:tcW w:w="2393" w:type="dxa"/>
          </w:tcPr>
          <w:p w:rsidR="00472569" w:rsidRDefault="00472569" w:rsidP="0047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+6,060</w:t>
            </w:r>
          </w:p>
        </w:tc>
      </w:tr>
    </w:tbl>
    <w:p w:rsidR="009E1E0E" w:rsidRDefault="009E1E0E" w:rsidP="00CF6E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569" w:rsidRDefault="00472569" w:rsidP="00CF6E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637E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проверяемый период списано сверх итогового количества по меню более 6,0 кг сахара на сумму 278,76 рублей (46,0 рублей за кг.).</w:t>
      </w:r>
    </w:p>
    <w:p w:rsidR="00637E78" w:rsidRDefault="00637E78" w:rsidP="00CF6E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накладных не указывается номер и дата заключенного договора, в соответствии с которым был осуществлен отпуск продуктов питания.</w:t>
      </w:r>
    </w:p>
    <w:p w:rsidR="00BB2D7E" w:rsidRDefault="00BB2D7E" w:rsidP="00637E78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3997">
        <w:rPr>
          <w:rFonts w:ascii="Times New Roman" w:hAnsi="Times New Roman" w:cs="Times New Roman"/>
          <w:sz w:val="28"/>
          <w:szCs w:val="28"/>
        </w:rPr>
        <w:t>В ходе проверки установлено, что Учреждением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3997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3997">
        <w:rPr>
          <w:rFonts w:ascii="Times New Roman" w:hAnsi="Times New Roman" w:cs="Times New Roman"/>
          <w:sz w:val="28"/>
          <w:szCs w:val="28"/>
        </w:rPr>
        <w:t xml:space="preserve"> гг. все закупки </w:t>
      </w:r>
      <w:r>
        <w:rPr>
          <w:rFonts w:ascii="Times New Roman" w:hAnsi="Times New Roman" w:cs="Times New Roman"/>
          <w:sz w:val="28"/>
          <w:szCs w:val="28"/>
        </w:rPr>
        <w:t xml:space="preserve">продуктов питания </w:t>
      </w:r>
      <w:r w:rsidRPr="00843997">
        <w:rPr>
          <w:rFonts w:ascii="Times New Roman" w:hAnsi="Times New Roman" w:cs="Times New Roman"/>
          <w:sz w:val="28"/>
          <w:szCs w:val="28"/>
        </w:rPr>
        <w:t>осуществлялись не конкурентными способами. В соответствии</w:t>
      </w:r>
      <w:r w:rsidR="000F5504">
        <w:rPr>
          <w:rFonts w:ascii="Times New Roman" w:hAnsi="Times New Roman" w:cs="Times New Roman"/>
          <w:sz w:val="28"/>
          <w:szCs w:val="28"/>
        </w:rPr>
        <w:t xml:space="preserve"> </w:t>
      </w:r>
      <w:r w:rsidRPr="00843997">
        <w:rPr>
          <w:rFonts w:ascii="Times New Roman" w:hAnsi="Times New Roman" w:cs="Times New Roman"/>
          <w:sz w:val="28"/>
          <w:szCs w:val="28"/>
        </w:rPr>
        <w:t>с</w:t>
      </w:r>
      <w:r w:rsidR="000F5504">
        <w:rPr>
          <w:rFonts w:ascii="Times New Roman" w:hAnsi="Times New Roman" w:cs="Times New Roman"/>
          <w:sz w:val="28"/>
          <w:szCs w:val="28"/>
        </w:rPr>
        <w:t xml:space="preserve"> </w:t>
      </w:r>
      <w:r w:rsidR="000F5504" w:rsidRPr="00F54894">
        <w:rPr>
          <w:rFonts w:ascii="Times New Roman" w:hAnsi="Times New Roman" w:cs="Times New Roman"/>
          <w:color w:val="000000" w:themeColor="text1"/>
          <w:sz w:val="28"/>
          <w:szCs w:val="28"/>
        </w:rPr>
        <w:t>пунктом 3.з)  Методики</w:t>
      </w:r>
      <w:r w:rsidRPr="00F5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504" w:rsidRPr="00F5489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проведения </w:t>
      </w:r>
      <w:proofErr w:type="spellStart"/>
      <w:r w:rsidR="000F5504" w:rsidRPr="00F5489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антикоррупционной</w:t>
      </w:r>
      <w:proofErr w:type="spellEnd"/>
      <w:r w:rsidR="000F5504" w:rsidRPr="00F5489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экспертизы нормативных правовых актов и проектов нормативных правовых актов, утвержденной  </w:t>
      </w:r>
      <w:r w:rsidRPr="00F5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F5504" w:rsidRPr="00F5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от 26.02.2010 года №96 «Об </w:t>
      </w:r>
      <w:proofErr w:type="spellStart"/>
      <w:r w:rsidRPr="00F54894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F5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экспертизе нормативных правовых актов и проектов нормативных правовых актов» отказ от конкурентных процедур имеет коррупционную</w:t>
      </w:r>
      <w:r w:rsidRPr="00843997">
        <w:rPr>
          <w:rFonts w:ascii="Times New Roman" w:hAnsi="Times New Roman" w:cs="Times New Roman"/>
          <w:sz w:val="28"/>
          <w:szCs w:val="28"/>
        </w:rPr>
        <w:t xml:space="preserve"> составляющую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5.Использование средств бюджета на реконструкцию объектов, капитальный и текущий ремонт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7965" w:rsidRDefault="00FB4941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смете расходов учреждения средства на реконструкцию объектов, капитальный и текущий ремонт не выделялись. </w:t>
      </w:r>
      <w:r>
        <w:rPr>
          <w:rFonts w:ascii="Times New Roman" w:hAnsi="Times New Roman" w:cs="Times New Roman"/>
          <w:sz w:val="28"/>
          <w:szCs w:val="28"/>
        </w:rPr>
        <w:t>Заказчиком контракта на ремонт кровли и фронтонов в здании МКОУ «Андреевская ООШ» на сумму 928002,81 рублей является Администрация МО Куркинский район.</w:t>
      </w:r>
    </w:p>
    <w:p w:rsidR="00FB4941" w:rsidRPr="00FA6549" w:rsidRDefault="00FB4941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6. Состояние расчетной дисциплины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дебиторской и кредиторской задолженности за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-201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показал, что в целом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кредиторская задолженность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уменьшилась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279850,23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или 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84,4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Размер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кредиторск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задолженност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состоянию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-  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47769,32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руб.;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36330,17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руб.;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01.07.201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7435,08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Реальность кредиторской задолженности подтверждена актами сверки взаимных расчетов по состоянию на 01 января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Случаев необоснованного списания дебиторской и кредиторской задолженности не установлено.</w:t>
      </w:r>
    </w:p>
    <w:p w:rsidR="00A67CE2" w:rsidRDefault="00A67CE2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Кредиторская задолженность носит текущий характер за предоставление ежемесячных регулярных услуг.</w:t>
      </w:r>
    </w:p>
    <w:p w:rsidR="00F97965" w:rsidRDefault="009D070B" w:rsidP="003566DD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тная политика разработана </w:t>
      </w:r>
      <w:r w:rsidR="00356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2018 год  и  утверждена приказом №1 от 09.01.2017 года,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201</w:t>
      </w:r>
      <w:r w:rsidRPr="00DA6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год утверждена приказом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 №</w:t>
      </w:r>
      <w:r w:rsidR="00356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от 09.01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356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года. </w:t>
      </w:r>
    </w:p>
    <w:p w:rsidR="003566DD" w:rsidRPr="00FA6549" w:rsidRDefault="003566DD" w:rsidP="003566DD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7. Ревизия банковских операций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учета движения средств, полученных из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проверяемом периоде Школе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учета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 местного бюджета и федеральных средств.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Проверкой достоверности и законности банковских операций, проведенной сплошным путем за период с 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июнь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A6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по лицевому счету, нарушений не установлено.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операций по счетам ведется на основании первичных документов. Суммы, отраженные в банковских выписках соответствуют приложенным к ним первичным документам с отметкой банка об их исполнении. Остатки средств на начало и на конец месяца по выпискам банка соответствуют данным Главной книги и мемориальных ордеров.</w:t>
      </w:r>
    </w:p>
    <w:p w:rsidR="00C2685B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Отвлечения средств бюджета на депозитные счета в коммерческие банки не установлено. 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Валютных счетов учреждение не имеет.</w:t>
      </w:r>
    </w:p>
    <w:p w:rsidR="00F97965" w:rsidRPr="00FA6549" w:rsidRDefault="00F97965" w:rsidP="00FB4941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период </w:t>
      </w:r>
      <w:r w:rsidR="00FB4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мая  2017 года по июнь 2019 года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доходы от предпринимательской и иной приносящий доход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(родительская плата) поступили в </w:t>
      </w:r>
      <w:r w:rsidR="00FB4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 бюджета МО Куркинский район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сумме </w:t>
      </w:r>
      <w:r w:rsidR="00C2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71588,0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 за  201</w:t>
      </w:r>
      <w:r w:rsidR="00C2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в сумме </w:t>
      </w:r>
      <w:r w:rsidR="00C2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100260,6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за январь – июнь 201</w:t>
      </w:r>
      <w:r w:rsidR="00C2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поступило </w:t>
      </w:r>
      <w:r w:rsidR="00C2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46237,3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пунктом 2.2 «Положения о правилах организации наличного денежного обращения на территории Российской Федерации», утвержденного ЦБ РФ денежные средства, поступившие в проверяемом периоде в кассу учреждения от предпринимательской и иной, приносящей доход деятельности, поступ</w:t>
      </w:r>
      <w:r w:rsidR="00C2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на лицевой счет в полном объеме.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8.Ревизия кассовых операций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Ревизия кассовых операций проведена выборочным путем за период с </w:t>
      </w:r>
      <w:r w:rsidR="00C2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2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июнь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C2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по бюджетным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средствам.</w:t>
      </w:r>
    </w:p>
    <w:p w:rsidR="00F97965" w:rsidRPr="00FA6549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Обязанности кассира в проверяемом периоде исполня</w:t>
      </w:r>
      <w:r w:rsidR="00C2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 централизованной бухгалтерии Зудина Светлана Николаевна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которой заключен договор о полной индивидуальной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7" w:tooltip="Материальная ответственность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материальной ответственности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C2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</w:t>
      </w:r>
      <w:r w:rsidR="00C2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201</w:t>
      </w:r>
      <w:r w:rsidR="00C2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материально-ответственного лица кассира проведена инвентаризация наличных денежных средств и бланков строгой отчетности, находящихся в кассе </w:t>
      </w:r>
      <w:r w:rsidR="009D0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Централизованной бухгалтерии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Недостач и излишков не установлено.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 инвентаризации прилагается.</w:t>
      </w:r>
      <w:r w:rsidRPr="00DA6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Проверкой полноты и своевременности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приходования</w:t>
      </w:r>
      <w:proofErr w:type="spell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кассу наличных денежных средств, нарушений не установлено.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B7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Сроки и порядок проведения инвентаризации кассы и денежных средств, хранящихся на расчетных и других счетах в банках, устанавливаются руководителем организации и закрепляются в приказе об учетной политике.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Лимит остатка кассы, не утверждался</w:t>
      </w:r>
      <w:r w:rsidR="0035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7FA8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Денежные средства хранятся в </w:t>
      </w:r>
      <w:r w:rsidR="00755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оборудованной кассе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сопоставлении данных аналитического учета по субсчету  «Касса» с данными первичных оправдательных документов, и данными Журнала операций № 1, расхождений не установлено.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целевого использования бюджетных средств полученных в кассу проведена </w:t>
      </w:r>
      <w:r w:rsidR="00007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выборочным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путем в соответствии с приказом Минфина РФ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2008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148-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«Об утверждении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нструкции по бюджетному учету».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проверяемый период в части обоснованности отнесения расходов по предметным статьям, нарушений не установлено. Расходование средств осуществлялось на цели, соответствующие условиям их получения.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9.Правомерность использования средств бюджета и внебюджетных средств на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hyperlink r:id="rId18" w:tooltip="Оплата труда" w:history="1">
        <w:r w:rsidRPr="00FA654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оплату труда</w:t>
        </w:r>
      </w:hyperlink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 уплату единого социального налога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Оплата труда аппарата управления школы и учебно-вспомогательного персонала производилась согласно штатному расписанию, утвержденному директором Школы. Оплата труда преподавателей - за часы педагогической нагрузки в зависимости от разряда оплаты труда, классное руководство, на основании приказов директора.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Штатное расписание Школы на </w:t>
      </w:r>
      <w:r w:rsidR="00912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64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912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бюджетным средствам было утверждено в количестве </w:t>
      </w:r>
      <w:r w:rsidR="00356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19,33 единиц, на 01.09.2018 года в количестве 19,03 единицы.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Выборочно проверена правильность составления и оформления расчетно-платежных ведомос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тей на выплату заработной платы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нарушений не установлено.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Задолженности по выплате заработной платы работникам Школы за счет средств бюджета в проверяемом периоде не выявлено.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правильности начислений на фонд оплаты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руда проведена выборочным путем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Начисление </w:t>
      </w:r>
      <w:hyperlink r:id="rId19" w:tooltip="Взнос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взносов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социальное страхование, обязательное медицинское страхование, страховых взносов учреждения и работников в Пенсионный фонд РФ производилось один раз в месяц на основании журнала операций расчетов по заработной плате и начислениям на фонд оплаты труда. Перечень выплат, на которые начислялись страховые взносы, определен в соответствии с действующим законодательством.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журнала операций расчетов по заработной плате и начислениям соответствуют данным главной книги и баланса исполнения сметы доходов и расходов.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10.Расчеты с подотчетными лицами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Default="00D8446C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Денежные средства за проверяемый период в подотчет не выдавались.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11.Внебюджетная деятельность.</w:t>
      </w: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Анализ поступления и использования внебюджетных средств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полученны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предпринимательской и иной, приносящей доход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(родительская плата)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сдаются в доходы бюджета МО Куркинский район по коду  «Прочие доходы от оказания платных услуг (работ)»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12.Проведение инвентаризации материальных ценностей, определение её результатов и отражение их в учете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Приобретение материальных запасов, для обеспечения учебного процесса, производственной деятельности, развития материально-технической базы Школы осуществлялось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средств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Денежные средства на приобретение материальных запасов использовались по целевому назначению.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Списания расходных материалов на хозяйственные и учебные нужды без оправдательных документов за проверяемый период не установлено. Материальные 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нности отпускались со склада по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лимитно-заборным</w:t>
      </w:r>
      <w:proofErr w:type="spell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картам. Списание израсходованных материалов производилось по актам о списании материальных запасов формы 0504230.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Сохранность основных средств и материальных ценностей в Школе обеспечивается: заключены договора о материальной ответственности,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участии работников бухгалтерии, осуществляется документальный контроль.</w:t>
      </w:r>
    </w:p>
    <w:p w:rsidR="00C742B1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составлением годовой бухгалтерской отчетности, организации в обязательном порядке обязаны проводить инвентаризацию имущества и обязательств в полном объеме.</w:t>
      </w:r>
      <w:r w:rsidR="00C742B1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C742B1" w:rsidRP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</w:t>
      </w:r>
      <w:r w:rsid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="00C742B1" w:rsidRP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 1 октября по 31 декабря. Причем инвентаризацию основных сре</w:t>
      </w:r>
      <w:proofErr w:type="gramStart"/>
      <w:r w:rsidR="00C742B1" w:rsidRP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пр</w:t>
      </w:r>
      <w:proofErr w:type="gramEnd"/>
      <w:r w:rsidR="00C742B1" w:rsidRP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овод</w:t>
      </w:r>
      <w:r w:rsid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ится </w:t>
      </w:r>
      <w:r w:rsidR="00C742B1" w:rsidRP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реже одного раза в три года, библиотечных фондов – раз в пять лет. Конкретные сроки и периодичность закреп</w:t>
      </w:r>
      <w:r w:rsid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ляется</w:t>
      </w:r>
      <w:r w:rsidR="00C742B1" w:rsidRP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учетной политике.  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вышеуказанного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инвентаризация проводилась нерегулярно. </w:t>
      </w:r>
      <w:r w:rsidR="00356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2017 году инвентаризация проводилась во время ревизии по вопросам финансово- хозяйственной деятельности МОУ «Андреевская ООШ» финансовым управлением Ад</w:t>
      </w:r>
      <w:r w:rsid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министрации МО Куркинский район по состо</w:t>
      </w:r>
      <w:r w:rsidR="00356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янию на 01.04.2017г.</w:t>
      </w:r>
      <w:r w:rsid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2018 году инвентаризация не проводилась.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самостоятельно организует питание учащихся. Столовую обслуживает</w:t>
      </w:r>
      <w:r w:rsidR="00C74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штат из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4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ед.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повар</w:t>
      </w:r>
      <w:r w:rsidR="00C74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 0,25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4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ед. 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кухонн</w:t>
      </w:r>
      <w:r w:rsidR="00C74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</w:t>
      </w:r>
      <w:r w:rsidR="00C74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укомплектованный в соответствии со штатным расписанием. Работники столовой периодически проходят медицинские осмотры</w:t>
      </w:r>
      <w:r w:rsidR="00C74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своевременности </w:t>
      </w:r>
      <w:proofErr w:type="spellStart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оприходования</w:t>
      </w:r>
      <w:proofErr w:type="spell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законности использования средств на питание учащихся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выборочным </w:t>
      </w:r>
      <w:proofErr w:type="gramStart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путем</w:t>
      </w:r>
      <w:proofErr w:type="gram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результате которой установлено, что порядок </w:t>
      </w:r>
      <w:proofErr w:type="spellStart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оприходования</w:t>
      </w:r>
      <w:proofErr w:type="spell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списания продуктов питания соблюдался.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Продукты питания для школьной столовой приобретались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4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Арбузов А.Н. по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безналичн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поставщиками заключены договора на поставку продуктов питания</w:t>
      </w:r>
      <w:r w:rsidR="00D84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условиями 44-ФЗ о контрактной системе закупок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W w:w="0" w:type="auto"/>
        <w:tblLook w:val="04A0"/>
      </w:tblPr>
      <w:tblGrid>
        <w:gridCol w:w="9571"/>
      </w:tblGrid>
      <w:tr w:rsidR="00637E78" w:rsidRPr="00585695" w:rsidTr="00637E78">
        <w:trPr>
          <w:trHeight w:val="1080"/>
        </w:trPr>
        <w:tc>
          <w:tcPr>
            <w:tcW w:w="9571" w:type="dxa"/>
          </w:tcPr>
          <w:p w:rsidR="00637E78" w:rsidRPr="00585695" w:rsidRDefault="00F97965" w:rsidP="00D039DA">
            <w:pPr>
              <w:pStyle w:val="3"/>
              <w:shd w:val="clear" w:color="auto" w:fill="auto"/>
              <w:spacing w:before="0" w:after="0" w:line="240" w:lineRule="auto"/>
              <w:ind w:firstLine="709"/>
              <w:rPr>
                <w:rFonts w:ascii="Arial" w:eastAsia="Calibri" w:hAnsi="Arial" w:cs="Arial"/>
                <w:b/>
              </w:rPr>
            </w:pPr>
            <w:proofErr w:type="gramStart"/>
            <w:r w:rsidRPr="00FA654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Средний размер стоимости питания в день 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FA654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а 201</w:t>
            </w:r>
            <w:r w:rsidR="00637E78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FA654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утвержден</w:t>
            </w:r>
            <w:r w:rsidR="00637E78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постановлением</w:t>
            </w:r>
            <w:r w:rsidR="00637E78" w:rsidRPr="00637E7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637E78">
              <w:rPr>
                <w:rFonts w:cs="Times New Roman"/>
                <w:bCs/>
                <w:sz w:val="28"/>
                <w:szCs w:val="28"/>
              </w:rPr>
              <w:t xml:space="preserve">Администрации МО Куркинский район от </w:t>
            </w:r>
            <w:r w:rsidR="00D039DA">
              <w:rPr>
                <w:rFonts w:cs="Times New Roman"/>
                <w:bCs/>
                <w:sz w:val="28"/>
                <w:szCs w:val="28"/>
              </w:rPr>
              <w:t>13.12.2018г №801</w:t>
            </w:r>
            <w:r w:rsidR="00637E78">
              <w:rPr>
                <w:rFonts w:cs="Times New Roman"/>
                <w:bCs/>
                <w:sz w:val="28"/>
                <w:szCs w:val="28"/>
              </w:rPr>
              <w:t xml:space="preserve"> «</w:t>
            </w:r>
            <w:r w:rsidR="00637E78" w:rsidRPr="00637E78">
              <w:rPr>
                <w:rFonts w:eastAsia="Calibri" w:cs="Times New Roman"/>
                <w:bCs/>
                <w:sz w:val="28"/>
                <w:szCs w:val="28"/>
              </w:rPr>
              <w:t>О внесении изменений в постановление  Администрации муниципального образования Куркинский район от 17.11.2015г. № 805 «Об установлении размера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 и утверждении размера средств, выделяемых из муниципального</w:t>
            </w:r>
            <w:proofErr w:type="gramEnd"/>
            <w:r w:rsidR="00637E78" w:rsidRPr="00637E78">
              <w:rPr>
                <w:rFonts w:eastAsia="Calibri" w:cs="Times New Roman"/>
                <w:bCs/>
                <w:sz w:val="28"/>
                <w:szCs w:val="28"/>
              </w:rPr>
              <w:t xml:space="preserve"> бюджета на питание детей в муниципальных общеобразовательных учреждениях муниципального образования Куркинский район, в структурном подразделении – отделение </w:t>
            </w:r>
            <w:r w:rsidR="00637E78" w:rsidRPr="00637E78">
              <w:rPr>
                <w:rFonts w:eastAsia="Calibri" w:cs="Times New Roman"/>
                <w:bCs/>
                <w:sz w:val="28"/>
                <w:szCs w:val="28"/>
              </w:rPr>
              <w:lastRenderedPageBreak/>
              <w:t>интернат муниципального казенного общеобразовательного учреждения «</w:t>
            </w:r>
            <w:proofErr w:type="spellStart"/>
            <w:r w:rsidR="00637E78" w:rsidRPr="00637E78">
              <w:rPr>
                <w:rFonts w:eastAsia="Calibri" w:cs="Times New Roman"/>
                <w:bCs/>
                <w:sz w:val="28"/>
                <w:szCs w:val="28"/>
              </w:rPr>
              <w:t>Куркинская</w:t>
            </w:r>
            <w:proofErr w:type="spellEnd"/>
            <w:r w:rsidR="00637E78" w:rsidRPr="00637E78">
              <w:rPr>
                <w:rFonts w:eastAsia="Calibri" w:cs="Times New Roman"/>
                <w:bCs/>
                <w:sz w:val="28"/>
                <w:szCs w:val="28"/>
              </w:rPr>
              <w:t xml:space="preserve"> средняя общеобразовательная школа №2»</w:t>
            </w:r>
            <w:r w:rsidR="00D039DA">
              <w:rPr>
                <w:rFonts w:eastAsia="Calibri" w:cs="Times New Roman"/>
                <w:bCs/>
                <w:sz w:val="28"/>
                <w:szCs w:val="28"/>
              </w:rPr>
              <w:t xml:space="preserve"> и от 13.12.2018г №802</w:t>
            </w:r>
            <w:r w:rsidR="00D039DA" w:rsidRPr="000566A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039DA">
              <w:rPr>
                <w:rFonts w:ascii="Arial" w:hAnsi="Arial" w:cs="Arial"/>
                <w:b/>
                <w:sz w:val="32"/>
                <w:szCs w:val="32"/>
              </w:rPr>
              <w:t>«</w:t>
            </w:r>
            <w:r w:rsidR="00D039DA" w:rsidRPr="00D039DA">
              <w:rPr>
                <w:rFonts w:cs="Times New Roman"/>
                <w:sz w:val="28"/>
                <w:szCs w:val="28"/>
              </w:rPr>
              <w:t>Об обеспечении бесплатным двухразовым питанием детей с ограниченными возможностями здоровья, обучающихся в муниципальных общеобразовательных учреждениях муниципального образования Куркинский район</w:t>
            </w:r>
            <w:r w:rsidR="00D039DA">
              <w:rPr>
                <w:rFonts w:cs="Times New Roman"/>
                <w:sz w:val="28"/>
                <w:szCs w:val="28"/>
              </w:rPr>
              <w:t>»:</w:t>
            </w:r>
          </w:p>
        </w:tc>
      </w:tr>
    </w:tbl>
    <w:p w:rsidR="00F97965" w:rsidRPr="00FA6549" w:rsidRDefault="00F97965" w:rsidP="000147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одного учащегося </w:t>
      </w:r>
      <w:r w:rsidR="00D03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бюджета МО Куркинский район - 11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рублей;</w:t>
      </w:r>
    </w:p>
    <w:p w:rsidR="00F97965" w:rsidRDefault="00F97965" w:rsidP="000147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03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родительская плата -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50,00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рублей;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Калькулирование</w:t>
      </w:r>
      <w:proofErr w:type="spell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цены блюд осуществлялось на основании нормативов, установленных «Сборником рецептур блюд и кулинарных изделий для предприятий общественного питания».</w:t>
      </w:r>
    </w:p>
    <w:p w:rsidR="00D039DA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выборочной проверки правильности расходования средств на питание учащихся проведена сверка данных «Журнала посещаемости занятий» учащимися</w:t>
      </w:r>
      <w:r w:rsidR="00E62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 </w:t>
      </w:r>
      <w:r w:rsidR="00E62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E62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апрель 201</w:t>
      </w:r>
      <w:r w:rsidR="00E62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с данными меню-раскладки, расхождений не установлено.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13.Организация учета недвижимого и движимого имущества в проверяемом учреждении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 материальных средств организован в Школе в соответствии с Инструкцией по бюджетному учету, утвержденной Приказом Министерства Финансов РФ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29.12.2012 года №148-н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1 января 201</w:t>
      </w:r>
      <w:r w:rsidR="00E62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балансе Школы числилось основных средств балансовой стоимостью на сумму </w:t>
      </w:r>
      <w:r w:rsidR="00BB2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3824111,99 рублей, на 01.01.2019 года – 3958567,15 рублей, в том числе 1761683,66 рублей стоимость здания школы.</w:t>
      </w:r>
    </w:p>
    <w:p w:rsidR="00F97965" w:rsidRPr="00D41C01" w:rsidRDefault="00F97965" w:rsidP="00E6272F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каждый объект основных средств заведены инвентарные карточки учета основных средств формы ОС-6 бюджет,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С-8, ОС-9. Данные оборотных ведомостей по основным средствам соответствуют данным главной книги и баланса.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Амортизация на основные средства начислялась в соответствии с постановлением Правительства РФ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01.01.2002 года №1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классификации основных средств, включаемых в амортизационные группы».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Выборочной проверкой за весь проверяемый период установлено, что начисление амортизации на основные средства производилось в проверяемом периоде в соответствии с действующими нормативными документами.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14.Обоснованность проведенных затрат, связанных с текущей деятельностью и затрат капитального характера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Проверкой обоснованности произведенных затрат, связанных с текущей деятельностью, проведенной за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62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</w:t>
      </w:r>
      <w:r w:rsidR="00E62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201</w:t>
      </w:r>
      <w:r w:rsidR="00E62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установлено: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Расчеты за оказываемые услуги и поставляемые товарно-материальные ценности в проверяемом периоде осуществлялись в соответствии с заключенными договорами.</w:t>
      </w:r>
    </w:p>
    <w:p w:rsidR="00F97965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Оплата и потребление топливно-энергетических ресурсов, коммунальных услуг и </w:t>
      </w:r>
      <w:hyperlink r:id="rId20" w:tooltip="Услуги связи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услуг связи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счет средств бюджета в проверяемом периоде осуществлялась в пределах утвержденных лимитов бюджетных обязательств.</w:t>
      </w:r>
    </w:p>
    <w:p w:rsidR="00F97965" w:rsidRPr="00FA6549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39DA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Произведенные расходы подтверждены оправдательными документами, договорами на оказание услуг и актами выполненных работ, нарушений не установлено.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15.</w:t>
      </w:r>
      <w:r w:rsidR="00421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Достоверность бюджетного учета и отчетности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Бухгалтерский учет поступления и расходования средств на содержание Учреждения ведется в соответствии с Федеральным законом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06.12.2011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42-ФЗ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"О бухгалтерском учете ", Инструкцией по бюджетному учету, утвержденной приказом Министерства финансов Российской Федерации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30.12.2008 года №148-Н.</w:t>
      </w:r>
    </w:p>
    <w:p w:rsidR="00F97965" w:rsidRPr="00FA6549" w:rsidRDefault="00F97965" w:rsidP="000147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оборотов и остатков журналов операций тождественно равны оборотам и остаткам по счетам, отраженным в Главной книге.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Государственная отчетность в вышестоящие организации представлялась по формам, утвержденным Министерством финансов Российской Федерации, своевременно и в установленном объеме.</w:t>
      </w: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Проверкой достоверности отчетных </w:t>
      </w:r>
      <w:proofErr w:type="gramStart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proofErr w:type="gram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использованию средств бюджета  проведенной сплошным путем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расхождений не установлено.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Сохранность первичных документов, учетных регистров и других бухгалтерских документов обеспечена.</w:t>
      </w:r>
    </w:p>
    <w:p w:rsidR="00421955" w:rsidRPr="00FA6549" w:rsidRDefault="0042195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Заключение:</w:t>
      </w:r>
    </w:p>
    <w:p w:rsidR="00F97965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проверки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финансово-хозяйственной деятельности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«Андреевская основная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предлагается:</w:t>
      </w:r>
    </w:p>
    <w:p w:rsidR="00F97965" w:rsidRDefault="00BB2D7E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</w:t>
      </w:r>
      <w:r w:rsidR="00F97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Ежегодно проводить инвентаризацию материальных запасов и денежных сре</w:t>
      </w:r>
      <w:proofErr w:type="gramStart"/>
      <w:r w:rsidR="00F97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с с</w:t>
      </w:r>
      <w:proofErr w:type="gramEnd"/>
      <w:r w:rsidR="00F97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оответствующим ее оформлением.</w:t>
      </w:r>
    </w:p>
    <w:p w:rsidR="00F97965" w:rsidRDefault="00BB2D7E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97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30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анализ закупки продуктов питания для учреждения. Привести в соответствие объемы и  цены продуктов по контракту и фактически закупаемых по накладным.</w:t>
      </w:r>
    </w:p>
    <w:p w:rsidR="00F97965" w:rsidRDefault="00F97965" w:rsidP="000147F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3997">
        <w:rPr>
          <w:rFonts w:ascii="Times New Roman" w:hAnsi="Times New Roman" w:cs="Times New Roman"/>
          <w:sz w:val="28"/>
          <w:szCs w:val="28"/>
        </w:rPr>
        <w:t xml:space="preserve"> В ходе проверки установлено, что Учреждением все закупки осуществлялись не конкурентными способами. В соответствии с Постановлением правительства Российской Федерации от 26.02.2010 года №96 «Об </w:t>
      </w:r>
      <w:proofErr w:type="spellStart"/>
      <w:r w:rsidRPr="0084399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4399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отказ от конкурентных процедур имеет коррупционную составляющую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965" w:rsidRDefault="00F97965" w:rsidP="000147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Default="00F97965" w:rsidP="000147F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КРК</w:t>
      </w:r>
    </w:p>
    <w:p w:rsidR="00F97965" w:rsidRDefault="00F97965" w:rsidP="000147F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Куркинский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Е.В.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Степина</w:t>
      </w:r>
      <w:proofErr w:type="gramEnd"/>
    </w:p>
    <w:p w:rsidR="00F97965" w:rsidRPr="00FA6549" w:rsidRDefault="00F97965" w:rsidP="000147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965" w:rsidRPr="00FA6549" w:rsidRDefault="00F97965" w:rsidP="000147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0D98" w:rsidRDefault="00A30D98" w:rsidP="00A30D9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</w:t>
      </w:r>
    </w:p>
    <w:p w:rsidR="00A30D98" w:rsidRPr="00FA6549" w:rsidRDefault="00A30D98" w:rsidP="00A30D9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«Андреевская ООШ»                                        Н.В.Прошина</w:t>
      </w:r>
    </w:p>
    <w:p w:rsidR="00F97965" w:rsidRPr="00FA6549" w:rsidRDefault="00F97965" w:rsidP="000147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0D98" w:rsidRDefault="00A30D98" w:rsidP="00014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D98">
        <w:rPr>
          <w:rFonts w:ascii="Times New Roman" w:hAnsi="Times New Roman" w:cs="Times New Roman"/>
          <w:sz w:val="28"/>
          <w:szCs w:val="28"/>
        </w:rPr>
        <w:t>Директо</w:t>
      </w:r>
      <w:r>
        <w:rPr>
          <w:rFonts w:ascii="Times New Roman" w:hAnsi="Times New Roman" w:cs="Times New Roman"/>
          <w:sz w:val="28"/>
          <w:szCs w:val="28"/>
        </w:rPr>
        <w:t xml:space="preserve">р  МКУ </w:t>
      </w:r>
    </w:p>
    <w:p w:rsidR="005D4E1C" w:rsidRDefault="00A30D98" w:rsidP="00014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«ЦБ МУ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Мастикова</w:t>
      </w:r>
      <w:proofErr w:type="spellEnd"/>
    </w:p>
    <w:p w:rsidR="00A30D98" w:rsidRDefault="00A30D98" w:rsidP="00014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D98" w:rsidRDefault="00A30D98" w:rsidP="00A30D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 бухгалтер    МКУ </w:t>
      </w:r>
    </w:p>
    <w:p w:rsidR="00A30D98" w:rsidRPr="00A30D98" w:rsidRDefault="00A30D98" w:rsidP="00A30D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«ЦБ МУ МО Куркинский район»                            </w:t>
      </w:r>
      <w:r w:rsidR="00FD1654">
        <w:rPr>
          <w:rFonts w:ascii="Times New Roman" w:hAnsi="Times New Roman" w:cs="Times New Roman"/>
          <w:sz w:val="28"/>
          <w:szCs w:val="28"/>
        </w:rPr>
        <w:t>М.В.Смагина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A30D98" w:rsidRPr="00A30D98" w:rsidSect="0003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965"/>
    <w:rsid w:val="00007FA8"/>
    <w:rsid w:val="000147F2"/>
    <w:rsid w:val="00036ABB"/>
    <w:rsid w:val="00046A0C"/>
    <w:rsid w:val="000B5C59"/>
    <w:rsid w:val="000F1796"/>
    <w:rsid w:val="000F5504"/>
    <w:rsid w:val="00151AEB"/>
    <w:rsid w:val="001F1FE3"/>
    <w:rsid w:val="00215D5C"/>
    <w:rsid w:val="0029630B"/>
    <w:rsid w:val="002E1123"/>
    <w:rsid w:val="003566DD"/>
    <w:rsid w:val="00367E3A"/>
    <w:rsid w:val="0039793D"/>
    <w:rsid w:val="00421955"/>
    <w:rsid w:val="00441F08"/>
    <w:rsid w:val="00472569"/>
    <w:rsid w:val="005031A1"/>
    <w:rsid w:val="00512848"/>
    <w:rsid w:val="00527187"/>
    <w:rsid w:val="005D4E1C"/>
    <w:rsid w:val="005F30C5"/>
    <w:rsid w:val="00637E78"/>
    <w:rsid w:val="0065701D"/>
    <w:rsid w:val="006D4175"/>
    <w:rsid w:val="006F49FD"/>
    <w:rsid w:val="00755C2F"/>
    <w:rsid w:val="00792DD8"/>
    <w:rsid w:val="008042C4"/>
    <w:rsid w:val="008456CA"/>
    <w:rsid w:val="00864B6A"/>
    <w:rsid w:val="00894141"/>
    <w:rsid w:val="008E5465"/>
    <w:rsid w:val="009128A6"/>
    <w:rsid w:val="00932250"/>
    <w:rsid w:val="00933FF9"/>
    <w:rsid w:val="009D070B"/>
    <w:rsid w:val="009E1E0E"/>
    <w:rsid w:val="00A30D98"/>
    <w:rsid w:val="00A34FCB"/>
    <w:rsid w:val="00A67CE2"/>
    <w:rsid w:val="00A84C9B"/>
    <w:rsid w:val="00A850D4"/>
    <w:rsid w:val="00AF1955"/>
    <w:rsid w:val="00B07A62"/>
    <w:rsid w:val="00BB2D7E"/>
    <w:rsid w:val="00BC0D85"/>
    <w:rsid w:val="00BC7E68"/>
    <w:rsid w:val="00C2685B"/>
    <w:rsid w:val="00C742B1"/>
    <w:rsid w:val="00CB4B8B"/>
    <w:rsid w:val="00CE0C3F"/>
    <w:rsid w:val="00CF6E38"/>
    <w:rsid w:val="00D03809"/>
    <w:rsid w:val="00D039DA"/>
    <w:rsid w:val="00D25F75"/>
    <w:rsid w:val="00D50C02"/>
    <w:rsid w:val="00D8446C"/>
    <w:rsid w:val="00DA4E6D"/>
    <w:rsid w:val="00DB671E"/>
    <w:rsid w:val="00DC0EBE"/>
    <w:rsid w:val="00E34502"/>
    <w:rsid w:val="00E6272F"/>
    <w:rsid w:val="00EE4823"/>
    <w:rsid w:val="00F234BF"/>
    <w:rsid w:val="00F54894"/>
    <w:rsid w:val="00F561AA"/>
    <w:rsid w:val="00F92703"/>
    <w:rsid w:val="00F97965"/>
    <w:rsid w:val="00FB4941"/>
    <w:rsid w:val="00FC160C"/>
    <w:rsid w:val="00FD1654"/>
    <w:rsid w:val="00FE55BF"/>
    <w:rsid w:val="00FE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8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F6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locked/>
    <w:rsid w:val="00D039D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D039DA"/>
    <w:pPr>
      <w:widowControl w:val="0"/>
      <w:shd w:val="clear" w:color="auto" w:fill="FFFFFF"/>
      <w:spacing w:before="120" w:after="480" w:line="235" w:lineRule="exact"/>
      <w:jc w:val="both"/>
    </w:pPr>
    <w:rPr>
      <w:rFonts w:ascii="Times New Roman" w:eastAsia="Times New Roman" w:hAnsi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di_deyatelmznosti/" TargetMode="External"/><Relationship Id="rId13" Type="http://schemas.openxmlformats.org/officeDocument/2006/relationships/hyperlink" Target="http://base.garant.ru/12157835/" TargetMode="External"/><Relationship Id="rId18" Type="http://schemas.openxmlformats.org/officeDocument/2006/relationships/hyperlink" Target="http://pandia.ru/text/category/oplata_trud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andia.ru/text/category/pravovie_akti/" TargetMode="External"/><Relationship Id="rId12" Type="http://schemas.openxmlformats.org/officeDocument/2006/relationships/hyperlink" Target="http://pandia.ru/text/category/professionalmznoe_obrazovanie/" TargetMode="External"/><Relationship Id="rId17" Type="http://schemas.openxmlformats.org/officeDocument/2006/relationships/hyperlink" Target="http://pandia.ru/text/category/materialmznaya_otvetstvennostmz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vipolnenie_rabot/" TargetMode="External"/><Relationship Id="rId20" Type="http://schemas.openxmlformats.org/officeDocument/2006/relationships/hyperlink" Target="http://pandia.ru/text/category/uslugi_svyaz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29_iyunya/" TargetMode="External"/><Relationship Id="rId11" Type="http://schemas.openxmlformats.org/officeDocument/2006/relationships/hyperlink" Target="http://pandia.ru/text/category/gosudarstvennaya_akkreditatciya/" TargetMode="External"/><Relationship Id="rId5" Type="http://schemas.openxmlformats.org/officeDocument/2006/relationships/hyperlink" Target="http://pandia.ru/text/category/planovie_proverki/" TargetMode="External"/><Relationship Id="rId15" Type="http://schemas.openxmlformats.org/officeDocument/2006/relationships/hyperlink" Target="http://pandia.ru/text/category/zakoni_v_rossii/" TargetMode="External"/><Relationship Id="rId10" Type="http://schemas.openxmlformats.org/officeDocument/2006/relationships/hyperlink" Target="http://pandia.ru/text/category/deyatelmznostmz_mou/" TargetMode="External"/><Relationship Id="rId19" Type="http://schemas.openxmlformats.org/officeDocument/2006/relationships/hyperlink" Target="http://www.pandia.ru/text/category/vzn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razovatelmznie_programmi/" TargetMode="External"/><Relationship Id="rId14" Type="http://schemas.openxmlformats.org/officeDocument/2006/relationships/hyperlink" Target="http://interpa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3A96-028A-4272-8877-CA9D64BB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7022</TotalTime>
  <Pages>17</Pages>
  <Words>4824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24</cp:revision>
  <dcterms:created xsi:type="dcterms:W3CDTF">2019-07-26T08:19:00Z</dcterms:created>
  <dcterms:modified xsi:type="dcterms:W3CDTF">2019-08-17T17:57:00Z</dcterms:modified>
</cp:coreProperties>
</file>