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ТУЛЬСКАЯ  ОБЛАСТЬ</w:t>
      </w: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КОНТРОЛЬНО-РЕВИЗИОННАЯ КОМИССИЯ</w:t>
      </w: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АКТ</w:t>
      </w:r>
    </w:p>
    <w:p w:rsidR="007965DC" w:rsidRPr="00121503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1C77C8" w:rsidRDefault="007965DC" w:rsidP="001C77C8">
      <w:pPr>
        <w:ind w:firstLine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>Проверка правомерности и эффективности начисления</w:t>
      </w:r>
    </w:p>
    <w:p w:rsidR="001C77C8" w:rsidRDefault="007965DC" w:rsidP="001C77C8">
      <w:pPr>
        <w:ind w:firstLine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 xml:space="preserve"> заработной платы муниципальным и немуниципальным служащим Администрации  муниципального образования </w:t>
      </w:r>
    </w:p>
    <w:p w:rsidR="001C77C8" w:rsidRDefault="007965DC" w:rsidP="001C77C8">
      <w:pPr>
        <w:ind w:firstLine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21503">
        <w:rPr>
          <w:rFonts w:cs="Times New Roman"/>
          <w:b/>
          <w:color w:val="000000" w:themeColor="text1"/>
          <w:sz w:val="28"/>
          <w:szCs w:val="28"/>
        </w:rPr>
        <w:t xml:space="preserve"> Куркинский район за 2019 год </w:t>
      </w:r>
      <w:r w:rsidR="001C77C8">
        <w:rPr>
          <w:rFonts w:cs="Times New Roman"/>
          <w:b/>
          <w:color w:val="000000" w:themeColor="text1"/>
          <w:sz w:val="28"/>
          <w:szCs w:val="28"/>
        </w:rPr>
        <w:t xml:space="preserve">и январь-март 2020года </w:t>
      </w:r>
      <w:r>
        <w:rPr>
          <w:rFonts w:cs="Times New Roman"/>
          <w:b/>
          <w:color w:val="000000" w:themeColor="text1"/>
          <w:sz w:val="28"/>
          <w:szCs w:val="28"/>
        </w:rPr>
        <w:t xml:space="preserve">по итогам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 xml:space="preserve">рассмотрения протокола разногласий </w:t>
      </w:r>
      <w:r w:rsidR="001C77C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Администрации  муниципального образования</w:t>
      </w:r>
      <w:proofErr w:type="gramEnd"/>
      <w:r>
        <w:rPr>
          <w:rFonts w:cs="Times New Roman"/>
          <w:b/>
          <w:color w:val="000000" w:themeColor="text1"/>
          <w:sz w:val="28"/>
          <w:szCs w:val="28"/>
        </w:rPr>
        <w:t xml:space="preserve"> Куркинский район, ответа</w:t>
      </w:r>
      <w:r w:rsidR="00445B73" w:rsidRPr="00445B7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45B73">
        <w:rPr>
          <w:rFonts w:cs="Times New Roman"/>
          <w:b/>
          <w:color w:val="000000" w:themeColor="text1"/>
          <w:sz w:val="28"/>
          <w:szCs w:val="28"/>
        </w:rPr>
        <w:t>контрольно-ревизионной комиссии муниципального образования Куркинский район</w:t>
      </w:r>
      <w:r>
        <w:rPr>
          <w:rFonts w:cs="Times New Roman"/>
          <w:b/>
          <w:color w:val="000000" w:themeColor="text1"/>
          <w:sz w:val="28"/>
          <w:szCs w:val="28"/>
        </w:rPr>
        <w:t xml:space="preserve"> на протокол разногласий  и ответ</w:t>
      </w:r>
      <w:r w:rsidR="006E649B">
        <w:rPr>
          <w:rFonts w:cs="Times New Roman"/>
          <w:b/>
          <w:color w:val="000000" w:themeColor="text1"/>
          <w:sz w:val="28"/>
          <w:szCs w:val="28"/>
        </w:rPr>
        <w:t>ов</w:t>
      </w:r>
      <w:r>
        <w:rPr>
          <w:rFonts w:cs="Times New Roman"/>
          <w:b/>
          <w:color w:val="000000" w:themeColor="text1"/>
          <w:sz w:val="28"/>
          <w:szCs w:val="28"/>
        </w:rPr>
        <w:t xml:space="preserve"> на представление к акту проверки </w:t>
      </w:r>
    </w:p>
    <w:p w:rsidR="007965DC" w:rsidRPr="007965DC" w:rsidRDefault="007965DC" w:rsidP="007965DC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о принятых мерах.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2</w:t>
      </w:r>
      <w:r w:rsidR="006E649B">
        <w:rPr>
          <w:rFonts w:cs="Times New Roman"/>
          <w:color w:val="000000" w:themeColor="text1"/>
          <w:sz w:val="28"/>
          <w:szCs w:val="28"/>
        </w:rPr>
        <w:t>9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 w:rsidR="006E649B">
        <w:rPr>
          <w:rFonts w:cs="Times New Roman"/>
          <w:color w:val="000000" w:themeColor="text1"/>
          <w:sz w:val="28"/>
          <w:szCs w:val="28"/>
        </w:rPr>
        <w:t>мая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2020г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F17535" w:rsidRPr="00F17535" w:rsidRDefault="00F17535" w:rsidP="00F17535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  <w:t>Акт составлен по итогам</w:t>
      </w:r>
      <w:r w:rsidRPr="00F1753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1753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F17535">
        <w:rPr>
          <w:rFonts w:cs="Times New Roman"/>
          <w:color w:val="000000" w:themeColor="text1"/>
          <w:sz w:val="28"/>
          <w:szCs w:val="28"/>
        </w:rPr>
        <w:t>рассмотрения протокола разногласий  Администрации  муниципального образования</w:t>
      </w:r>
      <w:proofErr w:type="gramEnd"/>
      <w:r w:rsidRPr="00F17535">
        <w:rPr>
          <w:rFonts w:cs="Times New Roman"/>
          <w:color w:val="000000" w:themeColor="text1"/>
          <w:sz w:val="28"/>
          <w:szCs w:val="28"/>
        </w:rPr>
        <w:t xml:space="preserve"> Куркинский район, ответа контрольно-ревизионной комиссии муниципального образования Куркинский район на протокол разногласий  и ответов на представление к акту проверки </w:t>
      </w:r>
    </w:p>
    <w:p w:rsidR="007965DC" w:rsidRPr="00F17535" w:rsidRDefault="00F17535" w:rsidP="00F17535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 принятых мерах, а также проведенных дополнительных консультаций со специалистами Счетной палаты Тульской области.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        Основание для проведения контрольного мероприятия: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пункт 4.3 Плана работы Контрольно-ревизионной комиссии муниципального образования Куркинский район на 2020 год.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Объект контрольного мероприятия: Администрация муниципального образования Куркинский район, Собрание представителей муниципального образования Куркинский район, финансовое управление муниципального образования Куркинский район, отдел образования муниципального образования Куркинский район, отдел культуры муниципального образования Куркинский район.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830AB2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Проверяемый период:  2019 </w:t>
      </w:r>
      <w:r w:rsidR="00830AB2">
        <w:rPr>
          <w:rFonts w:cs="Times New Roman"/>
          <w:color w:val="000000" w:themeColor="text1"/>
          <w:sz w:val="28"/>
          <w:szCs w:val="28"/>
        </w:rPr>
        <w:t>год</w:t>
      </w:r>
      <w:r w:rsidR="001C77C8">
        <w:rPr>
          <w:rFonts w:cs="Times New Roman"/>
          <w:color w:val="000000" w:themeColor="text1"/>
          <w:sz w:val="28"/>
          <w:szCs w:val="28"/>
        </w:rPr>
        <w:t xml:space="preserve"> и январь-март 2020 года</w:t>
      </w:r>
      <w:r w:rsidR="00830AB2">
        <w:rPr>
          <w:rFonts w:cs="Times New Roman"/>
          <w:color w:val="000000" w:themeColor="text1"/>
          <w:sz w:val="28"/>
          <w:szCs w:val="28"/>
        </w:rPr>
        <w:t>.</w:t>
      </w:r>
    </w:p>
    <w:p w:rsidR="007965DC" w:rsidRDefault="007965DC" w:rsidP="001C77C8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Срок проведения контрольного мероприятия: с  26  мая </w:t>
      </w:r>
      <w:r w:rsidR="00830AB2"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по 24  апреля 2020 года.</w:t>
      </w:r>
    </w:p>
    <w:p w:rsidR="00F17535" w:rsidRPr="00F17535" w:rsidRDefault="00F17535" w:rsidP="001C77C8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lastRenderedPageBreak/>
        <w:t>Цель проверки: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- соблюдение законодательства РФ при начислении заработной платы и оплаты за очередной отпуск;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- правомерное и эффективное использование средств на выплату заработной платы, а также правильность и обоснованность её н</w:t>
      </w:r>
      <w:r w:rsidR="003C458C">
        <w:rPr>
          <w:rFonts w:cs="Times New Roman"/>
          <w:color w:val="000000" w:themeColor="text1"/>
          <w:sz w:val="28"/>
          <w:szCs w:val="28"/>
        </w:rPr>
        <w:t>а</w:t>
      </w:r>
      <w:r w:rsidRPr="00121503">
        <w:rPr>
          <w:rFonts w:cs="Times New Roman"/>
          <w:color w:val="000000" w:themeColor="text1"/>
          <w:sz w:val="28"/>
          <w:szCs w:val="28"/>
        </w:rPr>
        <w:t>числения.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Переч</w:t>
      </w:r>
      <w:r w:rsidR="00DA556F">
        <w:rPr>
          <w:rFonts w:cs="Times New Roman"/>
          <w:color w:val="000000" w:themeColor="text1"/>
          <w:sz w:val="28"/>
          <w:szCs w:val="28"/>
        </w:rPr>
        <w:t>ень нормативных правовых актов</w:t>
      </w:r>
      <w:r w:rsidR="003C458C">
        <w:rPr>
          <w:rFonts w:cs="Times New Roman"/>
          <w:color w:val="000000" w:themeColor="text1"/>
          <w:sz w:val="28"/>
          <w:szCs w:val="28"/>
        </w:rPr>
        <w:t>,</w:t>
      </w:r>
      <w:r w:rsidR="00DA556F">
        <w:rPr>
          <w:rFonts w:cs="Times New Roman"/>
          <w:color w:val="000000" w:themeColor="text1"/>
          <w:sz w:val="28"/>
          <w:szCs w:val="28"/>
        </w:rPr>
        <w:t xml:space="preserve"> материалов разногласия </w:t>
      </w:r>
      <w:r w:rsidR="003C458C">
        <w:rPr>
          <w:rFonts w:cs="Times New Roman"/>
          <w:color w:val="000000" w:themeColor="text1"/>
          <w:sz w:val="28"/>
          <w:szCs w:val="28"/>
        </w:rPr>
        <w:t xml:space="preserve"> и ответов на представление,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используемых при </w:t>
      </w:r>
      <w:r w:rsidR="003C458C">
        <w:rPr>
          <w:rFonts w:cs="Times New Roman"/>
          <w:color w:val="000000" w:themeColor="text1"/>
          <w:sz w:val="28"/>
          <w:szCs w:val="28"/>
        </w:rPr>
        <w:t xml:space="preserve">подведении итогов </w:t>
      </w:r>
      <w:r w:rsidRPr="00121503">
        <w:rPr>
          <w:rFonts w:cs="Times New Roman"/>
          <w:color w:val="000000" w:themeColor="text1"/>
          <w:sz w:val="28"/>
          <w:szCs w:val="28"/>
        </w:rPr>
        <w:t>контрольного мероприятия: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1) Трудовой кодекс Российской Федерации (далее ТК РФ);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2) Федеральный закон от 06.10.2003 № 131-ФЗ «Об общих принципах организации местного самоуправления в Российской Федерации» (далее Закон № 131-ФЗ);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3) Федеральный закон от 02.03.2007 № 25-ФЗ «О муниципальной службе в Российской Федерации» (далее Закон № 25-ФЗ);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4)Закон Тульской области от 2 февраля 1998 г. N 76-ЗТО "О муниципальной службе в Тульской области";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5) Постановление правительства Тульской области  от 14.11.2017       № 538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области»;</w:t>
      </w: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6) Решение Собрания представителей муниципального образования Куркинский район от 27 декабря 2017 №29-5 «Об утверждении  Положения  об  оплате труда лиц, замещающих муниципальные должности в контрольно-счетном органе, муниципальных служащих муниципального образования Куркинский район»</w:t>
      </w:r>
      <w:r w:rsidR="001E548D">
        <w:rPr>
          <w:rFonts w:cs="Times New Roman"/>
          <w:color w:val="000000" w:themeColor="text1"/>
          <w:sz w:val="28"/>
          <w:szCs w:val="28"/>
        </w:rPr>
        <w:t xml:space="preserve"> (далее Положение об оплате труда)</w:t>
      </w:r>
      <w:r w:rsidRPr="00121503">
        <w:rPr>
          <w:rFonts w:cs="Times New Roman"/>
          <w:color w:val="000000" w:themeColor="text1"/>
          <w:sz w:val="28"/>
          <w:szCs w:val="28"/>
        </w:rPr>
        <w:t>.</w:t>
      </w:r>
    </w:p>
    <w:p w:rsidR="003C458C" w:rsidRDefault="003C458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7) Постановление Госкомстата РФ от 05.01.2004 №1.</w:t>
      </w:r>
    </w:p>
    <w:p w:rsidR="003C458C" w:rsidRDefault="003C458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8)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РФ.</w:t>
      </w:r>
    </w:p>
    <w:p w:rsidR="003C458C" w:rsidRDefault="003C458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9) Консультация Трудовой инспекции.</w:t>
      </w:r>
    </w:p>
    <w:p w:rsidR="003C458C" w:rsidRDefault="003C458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10) Протокол разногласий </w:t>
      </w:r>
      <w:r w:rsidR="006E649B">
        <w:rPr>
          <w:rFonts w:cs="Times New Roman"/>
          <w:color w:val="000000" w:themeColor="text1"/>
          <w:sz w:val="28"/>
          <w:szCs w:val="28"/>
        </w:rPr>
        <w:t xml:space="preserve">Администрации МО Куркинский район </w:t>
      </w:r>
      <w:r>
        <w:rPr>
          <w:rFonts w:cs="Times New Roman"/>
          <w:color w:val="000000" w:themeColor="text1"/>
          <w:sz w:val="28"/>
          <w:szCs w:val="28"/>
        </w:rPr>
        <w:t>по Акту Контрольно-ревизионной комиссии МО Куркинский район</w:t>
      </w:r>
      <w:r w:rsidR="006E649B">
        <w:rPr>
          <w:rFonts w:cs="Times New Roman"/>
          <w:color w:val="000000" w:themeColor="text1"/>
          <w:sz w:val="28"/>
          <w:szCs w:val="28"/>
        </w:rPr>
        <w:t>.</w:t>
      </w:r>
    </w:p>
    <w:p w:rsidR="006E649B" w:rsidRDefault="006E649B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11) О</w:t>
      </w:r>
      <w:r w:rsidRPr="006E649B">
        <w:rPr>
          <w:rFonts w:cs="Times New Roman"/>
          <w:color w:val="000000" w:themeColor="text1"/>
          <w:sz w:val="28"/>
          <w:szCs w:val="28"/>
        </w:rPr>
        <w:t>твет контрольно-ревизионной комиссии муниципального образования Куркинский район на протокол разногласий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6E649B" w:rsidRPr="006E649B" w:rsidRDefault="006E649B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12) О</w:t>
      </w:r>
      <w:r w:rsidRPr="006E649B">
        <w:rPr>
          <w:rFonts w:cs="Times New Roman"/>
          <w:color w:val="000000" w:themeColor="text1"/>
          <w:sz w:val="28"/>
          <w:szCs w:val="28"/>
        </w:rPr>
        <w:t>твет</w:t>
      </w:r>
      <w:r>
        <w:rPr>
          <w:rFonts w:cs="Times New Roman"/>
          <w:color w:val="000000" w:themeColor="text1"/>
          <w:sz w:val="28"/>
          <w:szCs w:val="28"/>
        </w:rPr>
        <w:t>ов</w:t>
      </w:r>
      <w:r w:rsidRPr="006E649B">
        <w:rPr>
          <w:rFonts w:cs="Times New Roman"/>
          <w:color w:val="000000" w:themeColor="text1"/>
          <w:sz w:val="28"/>
          <w:szCs w:val="28"/>
        </w:rPr>
        <w:t xml:space="preserve"> на представление к акту проверки о принятых мерах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7965DC" w:rsidRPr="006E649B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F17535" w:rsidRDefault="007965DC" w:rsidP="00F17535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В ходе проведения контрольного мероприятия</w:t>
      </w:r>
      <w:r w:rsidR="001C77C8">
        <w:rPr>
          <w:rFonts w:cs="Times New Roman"/>
          <w:color w:val="000000" w:themeColor="text1"/>
          <w:sz w:val="28"/>
          <w:szCs w:val="28"/>
        </w:rPr>
        <w:t>,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 w:rsidR="001C77C8" w:rsidRPr="001C77C8">
        <w:rPr>
          <w:rFonts w:cs="Times New Roman"/>
          <w:color w:val="000000" w:themeColor="text1"/>
          <w:sz w:val="28"/>
          <w:szCs w:val="28"/>
        </w:rPr>
        <w:t xml:space="preserve">по итогам </w:t>
      </w:r>
      <w:proofErr w:type="gramStart"/>
      <w:r w:rsidR="001C77C8" w:rsidRPr="001C77C8">
        <w:rPr>
          <w:rFonts w:cs="Times New Roman"/>
          <w:color w:val="000000" w:themeColor="text1"/>
          <w:sz w:val="28"/>
          <w:szCs w:val="28"/>
        </w:rPr>
        <w:t>рассмотрения протокола разногласий  Администрации  муниципального образования</w:t>
      </w:r>
      <w:proofErr w:type="gramEnd"/>
      <w:r w:rsidR="001C77C8" w:rsidRPr="001C77C8">
        <w:rPr>
          <w:rFonts w:cs="Times New Roman"/>
          <w:color w:val="000000" w:themeColor="text1"/>
          <w:sz w:val="28"/>
          <w:szCs w:val="28"/>
        </w:rPr>
        <w:t xml:space="preserve"> Куркинский район, ответа контрольно-ревизионной комиссии муниципального образования Куркинский район на протокол разногласий  и ответов на представление к акту проверки </w:t>
      </w:r>
      <w:r w:rsidR="00373C47">
        <w:rPr>
          <w:rFonts w:cs="Times New Roman"/>
          <w:color w:val="000000" w:themeColor="text1"/>
          <w:sz w:val="28"/>
          <w:szCs w:val="28"/>
        </w:rPr>
        <w:t xml:space="preserve">о принятых мерах </w:t>
      </w:r>
      <w:r w:rsidRPr="00121503">
        <w:rPr>
          <w:rFonts w:cs="Times New Roman"/>
          <w:color w:val="000000" w:themeColor="text1"/>
          <w:sz w:val="28"/>
          <w:szCs w:val="28"/>
        </w:rPr>
        <w:t>установлено:</w:t>
      </w:r>
    </w:p>
    <w:p w:rsidR="00F17535" w:rsidRPr="00F17535" w:rsidRDefault="00F17535" w:rsidP="00F17535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F17535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lastRenderedPageBreak/>
        <w:t xml:space="preserve">1. Распоряжением Администрации муниципального образования Куркинский район от 09.01.2019г. №1-р на 2019 год утверждено штатное расписание.   Согласно Федеральному Закону РФ от 02.03.2007 № 25-ФЗ «О муниципальной службе в Российской Федерации», органы местного самоуправления, самостоятельно определяют размер и условия оплаты труда муниципальных служащих.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Штатная численность муниципальных служащих  установлена в количестве 33,5 единиц, что соответствует расчетной нормативной штатной численности муниципальных служащих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(34 ед.), утвержденной в приложении №7 Постановления  правительства Тульской области  от 14.11.2017      № 538 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 xml:space="preserve"> содержание органов местного самоуправления Тульской области» (далее Постановление №538). </w:t>
      </w:r>
    </w:p>
    <w:p w:rsidR="007965DC" w:rsidRPr="001116D2" w:rsidRDefault="00AD2321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Предлагается внести в штатное расписание Администрации муниципального образования Куркинский район 0,5 ставки (до 34 единиц) с целью использования в полном объеме расчетную нормативную штатную численность.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Перечень муниципальных должностей, размеры должностных окладов и размеры ежемесячных и иных дополнительных выплат утвержден решением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Собрания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представителей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27 декабря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2017 </w:t>
      </w:r>
      <w:r>
        <w:rPr>
          <w:rFonts w:cs="Times New Roman"/>
          <w:color w:val="000000" w:themeColor="text1"/>
          <w:sz w:val="28"/>
          <w:szCs w:val="28"/>
        </w:rPr>
        <w:t xml:space="preserve">  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№29-5 «Об утверждении  Положения  об  оплате труда лиц, замещающих муниципальные должности в контрольно-счетном органе, муниципальных служащих муниципального образования Куркинский район». 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Согласно положениям </w:t>
      </w:r>
      <w:hyperlink r:id="rId5" w:tgtFrame="_blank">
        <w:r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части 1 статьи 9</w:t>
        </w:r>
      </w:hyperlink>
      <w:r w:rsidRPr="00121503">
        <w:rPr>
          <w:rFonts w:cs="Times New Roman"/>
          <w:color w:val="000000" w:themeColor="text1"/>
          <w:sz w:val="28"/>
          <w:szCs w:val="28"/>
        </w:rPr>
        <w:t xml:space="preserve">Федерального закона N 25-ФЗ квалификационные требования для замещения должностей муниципальной службы предъявляются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к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>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- уровню профессионального образования;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- стажу муниципальной службы (государственной службы) или стажу работы по специальности;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- профессиональным знаниям и навыкам, необходимым для исполнения должностных обязанностей.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Назначение на должности муниципальной службы высококвалифицированных специалистов с учетом их профессиональных качеств и компетентности в соответствии с </w:t>
      </w:r>
      <w:hyperlink r:id="rId6" w:tgtFrame="_blank">
        <w:r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пунктом 1 статьи 32</w:t>
        </w:r>
      </w:hyperlink>
      <w:r w:rsidRPr="00121503">
        <w:rPr>
          <w:rFonts w:cs="Times New Roman"/>
          <w:color w:val="000000" w:themeColor="text1"/>
          <w:sz w:val="28"/>
          <w:szCs w:val="28"/>
        </w:rPr>
        <w:t xml:space="preserve"> Федерального закона N 25-ФЗ является приоритетным направлением формирования кадрового состава муниципальной службы.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Учитывая, что согласно </w:t>
      </w:r>
      <w:hyperlink r:id="rId7" w:tgtFrame="_blank">
        <w:r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пункту 2 части 1 статьи 12</w:t>
        </w:r>
      </w:hyperlink>
      <w:r w:rsidRPr="00121503">
        <w:rPr>
          <w:rFonts w:cs="Times New Roman"/>
          <w:color w:val="000000" w:themeColor="text1"/>
          <w:sz w:val="28"/>
          <w:szCs w:val="28"/>
        </w:rPr>
        <w:t xml:space="preserve"> Федерального закона N 25-ФЗ муниципальный служащий обязан исполнять должностные обязанности в соответствии с должностной инструкцией, в которую в свою очередь рекомендуется включать квалификационные требования. </w:t>
      </w:r>
    </w:p>
    <w:p w:rsidR="00F17535" w:rsidRPr="00F17535" w:rsidRDefault="00F17535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116D2" w:rsidRDefault="007965DC" w:rsidP="007965DC"/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lastRenderedPageBreak/>
        <w:t xml:space="preserve">2. Порядок оплаты труда муниципальных служащих в муниципальном образовании Куркинский район утвержден решением Решение Собрания представителей муниципального образования Куркинский район от 27 декабря 2017 №29-5 «Об утверждении  Положения  об  оплате труда лиц, замещающих муниципальные должности в контрольно-счетном органе, муниципальных служащих муниципального образования Куркинский район» (далее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–П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>оложение) :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2.1.</w:t>
      </w:r>
      <w:bookmarkStart w:id="0" w:name="sub_9"/>
      <w:r w:rsidRPr="00121503">
        <w:rPr>
          <w:rFonts w:cs="Times New Roman"/>
          <w:color w:val="000000" w:themeColor="text1"/>
          <w:sz w:val="28"/>
          <w:szCs w:val="28"/>
        </w:rPr>
        <w:t xml:space="preserve"> Пунктом 2 Положения</w:t>
      </w:r>
      <w:bookmarkEnd w:id="0"/>
      <w:r w:rsidRPr="00121503">
        <w:rPr>
          <w:rFonts w:cs="Times New Roman"/>
          <w:color w:val="000000" w:themeColor="text1"/>
          <w:sz w:val="28"/>
          <w:szCs w:val="28"/>
        </w:rPr>
        <w:t xml:space="preserve">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1) ежемесячной надбавки к должностному окладу за классный чин;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2) ежемесячной надбавки к должностному окладу за выслугу лет;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5) ежемесячного денежного поощрения;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6) премии за выполнение особо важных и сложных заданий;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Вышеуказанные ежемесячные  и иные дополнительные виды выплат соответствуют Постановлению №538.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2.2. Пунктами 3,4 и 5 Положения утверждены размеры  должностных окладов муниципальных служащих, предельные размеры ежемесячных и иных дополнительных выплат муниципальным служащим, размеры ежемесячных и иных дополнительных выплат муниципальному служащему, замещающему должность главы Администрации муниципального образования Куркинский район.</w:t>
      </w:r>
    </w:p>
    <w:p w:rsidR="00B41395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ab/>
      </w:r>
      <w:r w:rsidR="00B41395">
        <w:rPr>
          <w:rFonts w:cs="Times New Roman"/>
          <w:color w:val="000000" w:themeColor="text1"/>
          <w:sz w:val="28"/>
          <w:szCs w:val="28"/>
        </w:rPr>
        <w:t>Надбавки ежемесячного денежного поощрения и размера премии за выполнение особо важных и сложных заданий определены Постановлением Администрации МО Куркинский район от 16.10.2015г №707.</w:t>
      </w:r>
    </w:p>
    <w:p w:rsidR="00F17535" w:rsidRPr="00B41395" w:rsidRDefault="00F17535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ab/>
        <w:t xml:space="preserve">2.3. </w:t>
      </w:r>
      <w:r>
        <w:rPr>
          <w:rFonts w:cs="Times New Roman"/>
          <w:color w:val="000000" w:themeColor="text1"/>
          <w:sz w:val="28"/>
          <w:szCs w:val="28"/>
        </w:rPr>
        <w:t>Приложением 6 Постановления №538 установлено:</w:t>
      </w:r>
    </w:p>
    <w:p w:rsidR="007965DC" w:rsidRDefault="007965DC" w:rsidP="007965D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«</w:t>
      </w:r>
      <w:r w:rsidRPr="00C76B7E">
        <w:rPr>
          <w:rFonts w:eastAsiaTheme="minorHAnsi" w:cs="Times New Roman"/>
          <w:sz w:val="28"/>
          <w:szCs w:val="28"/>
          <w:lang w:eastAsia="en-US"/>
        </w:rPr>
        <w:t xml:space="preserve">1. Предельный размер годового фонда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C76B7E">
        <w:rPr>
          <w:rFonts w:cs="Times New Roman"/>
          <w:sz w:val="28"/>
          <w:szCs w:val="28"/>
        </w:rPr>
        <w:t xml:space="preserve">лиц, замещающих муниципальные должности в контрольно-счетном органе, </w:t>
      </w:r>
      <w:r w:rsidRPr="00C76B7E">
        <w:rPr>
          <w:rFonts w:eastAsiaTheme="minorHAnsi" w:cs="Times New Roman"/>
          <w:sz w:val="28"/>
          <w:szCs w:val="28"/>
          <w:lang w:eastAsia="en-US"/>
        </w:rPr>
        <w:t xml:space="preserve">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</w:t>
      </w:r>
      <w:r w:rsidRPr="00C76B7E">
        <w:rPr>
          <w:rFonts w:eastAsiaTheme="minorHAnsi" w:cs="Times New Roman"/>
          <w:sz w:val="28"/>
          <w:szCs w:val="28"/>
          <w:lang w:eastAsia="en-US"/>
        </w:rPr>
        <w:lastRenderedPageBreak/>
        <w:t>постановлением.</w:t>
      </w:r>
    </w:p>
    <w:p w:rsidR="007965DC" w:rsidRPr="00C76B7E" w:rsidRDefault="007965DC" w:rsidP="007965D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/>
        </w:rPr>
        <w:t>2…»,</w:t>
      </w:r>
    </w:p>
    <w:p w:rsidR="007965DC" w:rsidRPr="00121503" w:rsidRDefault="007965DC" w:rsidP="00B41395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 также</w:t>
      </w:r>
      <w:r w:rsidRPr="00C76B7E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Приложением 6 Постановления №538  и п</w:t>
      </w:r>
      <w:r w:rsidRPr="00121503">
        <w:rPr>
          <w:rFonts w:cs="Times New Roman"/>
          <w:color w:val="000000" w:themeColor="text1"/>
          <w:sz w:val="28"/>
          <w:szCs w:val="28"/>
        </w:rPr>
        <w:t>унктом 6.2. Положения установлено,</w:t>
      </w:r>
      <w:r w:rsidR="00C11815" w:rsidRPr="00C11815"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что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а) ежемесячной надбавки к должностному окладу за классный чин – в  размере четырех должностных окладов;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б) ежемесячной надбавки к должностному окладу за выслугу лет - в размере трех должностных окладов;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в) ежемесячные надбавки к должностному окладу за особые условия муниципальной службы – в размере </w:t>
      </w:r>
      <w:r w:rsidRPr="000E0E39">
        <w:rPr>
          <w:rFonts w:cs="Times New Roman"/>
          <w:color w:val="000000" w:themeColor="text1"/>
          <w:sz w:val="28"/>
          <w:szCs w:val="28"/>
        </w:rPr>
        <w:t>восьми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должностных окладов;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121503">
        <w:rPr>
          <w:rFonts w:cs="Times New Roman"/>
          <w:color w:val="000000" w:themeColor="text1"/>
          <w:sz w:val="28"/>
          <w:szCs w:val="28"/>
        </w:rPr>
        <w:t>д</w:t>
      </w:r>
      <w:proofErr w:type="spellEnd"/>
      <w:r w:rsidRPr="00121503">
        <w:rPr>
          <w:rFonts w:cs="Times New Roman"/>
          <w:color w:val="000000" w:themeColor="text1"/>
          <w:sz w:val="28"/>
          <w:szCs w:val="28"/>
        </w:rPr>
        <w:t xml:space="preserve">) ежемесячного денежного </w:t>
      </w:r>
      <w:r w:rsidRPr="000E0E39">
        <w:rPr>
          <w:rFonts w:cs="Times New Roman"/>
          <w:color w:val="000000" w:themeColor="text1"/>
          <w:sz w:val="28"/>
          <w:szCs w:val="28"/>
        </w:rPr>
        <w:t>поощрения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– в размере четырнадцати с половиной  должностных окладов, в </w:t>
      </w:r>
      <w:r w:rsidRPr="000E0E39">
        <w:rPr>
          <w:rFonts w:cs="Times New Roman"/>
          <w:color w:val="000000" w:themeColor="text1"/>
          <w:sz w:val="28"/>
          <w:szCs w:val="28"/>
        </w:rPr>
        <w:t>соответствии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с разработанным Администрацией муниципального образования Порядком;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373C47" w:rsidRDefault="007965DC" w:rsidP="00373C47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ж) премий за выполнение особо важных и сложных заданий – в размере двух должностных окладов.</w:t>
      </w:r>
    </w:p>
    <w:p w:rsidR="007965DC" w:rsidRDefault="007965DC" w:rsidP="00373C47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Таким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образом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 xml:space="preserve"> общая сумма выплачиваемых должностных окладов, формирующий годовой фонд оплаты труда, составляет 48 должностных окладов.</w:t>
      </w:r>
    </w:p>
    <w:p w:rsidR="00B41395" w:rsidRPr="00B41395" w:rsidRDefault="0063084F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 учетом поступившей дополнительной информации о выделении межбюджетных трансфертов за достижение показателей деятельности органов исполнительной власти в сумме 644,359 тыс. рублей</w:t>
      </w:r>
      <w:r w:rsidR="00554AC1">
        <w:rPr>
          <w:rFonts w:cs="Times New Roman"/>
          <w:color w:val="000000" w:themeColor="text1"/>
          <w:sz w:val="28"/>
          <w:szCs w:val="28"/>
        </w:rPr>
        <w:t xml:space="preserve"> при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554AC1">
        <w:rPr>
          <w:rFonts w:cs="Times New Roman"/>
          <w:color w:val="000000" w:themeColor="text1"/>
          <w:sz w:val="28"/>
          <w:szCs w:val="28"/>
        </w:rPr>
        <w:t>использовании</w:t>
      </w:r>
      <w:r>
        <w:rPr>
          <w:rFonts w:cs="Times New Roman"/>
          <w:color w:val="000000" w:themeColor="text1"/>
          <w:sz w:val="28"/>
          <w:szCs w:val="28"/>
        </w:rPr>
        <w:t xml:space="preserve"> фонда оплаты труда </w:t>
      </w:r>
      <w:r w:rsidR="00554AC1">
        <w:rPr>
          <w:rFonts w:cs="Times New Roman"/>
          <w:color w:val="000000" w:themeColor="text1"/>
          <w:sz w:val="28"/>
          <w:szCs w:val="28"/>
        </w:rPr>
        <w:t>за 2019 год установлена экономия</w:t>
      </w:r>
    </w:p>
    <w:p w:rsidR="007965DC" w:rsidRPr="008B72C0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Исходя из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вышеизложенного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 xml:space="preserve"> в п.2.3 проверкой установлено: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2"/>
        <w:gridCol w:w="2231"/>
        <w:gridCol w:w="2436"/>
        <w:gridCol w:w="2224"/>
      </w:tblGrid>
      <w:tr w:rsidR="007965DC" w:rsidRPr="00121503" w:rsidTr="004F0382">
        <w:trPr>
          <w:trHeight w:val="2564"/>
        </w:trPr>
        <w:tc>
          <w:tcPr>
            <w:tcW w:w="2532" w:type="dxa"/>
          </w:tcPr>
          <w:p w:rsidR="007965DC" w:rsidRPr="005D4156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</w:rPr>
              <w:t>Фактически</w:t>
            </w:r>
            <w:proofErr w:type="spellEnd"/>
            <w:r w:rsidRPr="00121503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21503">
              <w:rPr>
                <w:rFonts w:cs="Times New Roman"/>
                <w:color w:val="000000" w:themeColor="text1"/>
              </w:rPr>
              <w:t>выплачено</w:t>
            </w:r>
            <w:proofErr w:type="spellEnd"/>
            <w:r w:rsidRPr="00121503">
              <w:rPr>
                <w:rFonts w:cs="Times New Roman"/>
                <w:color w:val="000000" w:themeColor="text1"/>
              </w:rPr>
              <w:t xml:space="preserve">*, </w:t>
            </w:r>
            <w:proofErr w:type="spellStart"/>
            <w:r w:rsidRPr="00121503">
              <w:rPr>
                <w:rFonts w:cs="Times New Roman"/>
                <w:color w:val="000000" w:themeColor="text1"/>
              </w:rPr>
              <w:t>тыс</w:t>
            </w:r>
            <w:proofErr w:type="spellEnd"/>
            <w:r w:rsidRPr="00121503">
              <w:rPr>
                <w:rFonts w:cs="Times New Roman"/>
                <w:color w:val="000000" w:themeColor="text1"/>
              </w:rPr>
              <w:t xml:space="preserve">. </w:t>
            </w:r>
            <w:proofErr w:type="spellStart"/>
            <w:r w:rsidRPr="00121503">
              <w:rPr>
                <w:rFonts w:cs="Times New Roman"/>
                <w:color w:val="000000" w:themeColor="text1"/>
              </w:rPr>
              <w:t>руб</w:t>
            </w:r>
            <w:proofErr w:type="spellEnd"/>
          </w:p>
        </w:tc>
        <w:tc>
          <w:tcPr>
            <w:tcW w:w="2436" w:type="dxa"/>
          </w:tcPr>
          <w:p w:rsidR="007965DC" w:rsidRPr="005D4156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D4156">
              <w:rPr>
                <w:rFonts w:cs="Times New Roman"/>
                <w:color w:val="000000" w:themeColor="text1"/>
                <w:lang w:val="ru-RU"/>
              </w:rPr>
              <w:t>Годовой ФОТ в соответствии с пунктом 6.2. Положения и приложением 6 Постановления №538**, тыс. руб.</w:t>
            </w:r>
          </w:p>
        </w:tc>
        <w:tc>
          <w:tcPr>
            <w:tcW w:w="2224" w:type="dxa"/>
          </w:tcPr>
          <w:p w:rsidR="007965DC" w:rsidRPr="002A5D9C" w:rsidRDefault="002A5D9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Экономия,</w:t>
            </w:r>
          </w:p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121503">
              <w:rPr>
                <w:rFonts w:cs="Times New Roman"/>
                <w:color w:val="000000" w:themeColor="text1"/>
              </w:rPr>
              <w:t>тыс</w:t>
            </w:r>
            <w:proofErr w:type="spellEnd"/>
            <w:proofErr w:type="gramEnd"/>
            <w:r w:rsidRPr="00121503">
              <w:rPr>
                <w:rFonts w:cs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121503">
              <w:rPr>
                <w:rFonts w:cs="Times New Roman"/>
                <w:color w:val="000000" w:themeColor="text1"/>
              </w:rPr>
              <w:t>руб</w:t>
            </w:r>
            <w:proofErr w:type="spellEnd"/>
            <w:proofErr w:type="gramEnd"/>
            <w:r w:rsidRPr="00121503">
              <w:rPr>
                <w:rFonts w:cs="Times New Roman"/>
                <w:color w:val="000000" w:themeColor="text1"/>
              </w:rPr>
              <w:t>.</w:t>
            </w:r>
          </w:p>
        </w:tc>
      </w:tr>
      <w:tr w:rsidR="007965DC" w:rsidRPr="00121503" w:rsidTr="004F0382">
        <w:trPr>
          <w:trHeight w:val="364"/>
        </w:trPr>
        <w:tc>
          <w:tcPr>
            <w:tcW w:w="2532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2231" w:type="dxa"/>
          </w:tcPr>
          <w:p w:rsidR="007965DC" w:rsidRPr="00121503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7127,8</w:t>
            </w:r>
          </w:p>
        </w:tc>
        <w:tc>
          <w:tcPr>
            <w:tcW w:w="2436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965DC" w:rsidRPr="00121503" w:rsidTr="004F0382">
        <w:trPr>
          <w:trHeight w:val="743"/>
        </w:trPr>
        <w:tc>
          <w:tcPr>
            <w:tcW w:w="2532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Финансовое</w:t>
            </w:r>
            <w:proofErr w:type="spellEnd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2231" w:type="dxa"/>
          </w:tcPr>
          <w:p w:rsidR="007965DC" w:rsidRPr="00465E36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1898</w:t>
            </w:r>
          </w:p>
        </w:tc>
        <w:tc>
          <w:tcPr>
            <w:tcW w:w="2436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965DC" w:rsidRPr="00121503" w:rsidTr="004F0382">
        <w:trPr>
          <w:trHeight w:val="437"/>
        </w:trPr>
        <w:tc>
          <w:tcPr>
            <w:tcW w:w="2532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Отдел</w:t>
            </w:r>
            <w:proofErr w:type="spellEnd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31" w:type="dxa"/>
          </w:tcPr>
          <w:p w:rsidR="007965DC" w:rsidRPr="00465E36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961,0</w:t>
            </w:r>
          </w:p>
        </w:tc>
        <w:tc>
          <w:tcPr>
            <w:tcW w:w="2436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965DC" w:rsidRPr="00121503" w:rsidTr="004F0382">
        <w:trPr>
          <w:trHeight w:val="379"/>
        </w:trPr>
        <w:tc>
          <w:tcPr>
            <w:tcW w:w="2532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Отдел</w:t>
            </w:r>
            <w:proofErr w:type="spellEnd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2231" w:type="dxa"/>
          </w:tcPr>
          <w:p w:rsidR="007965DC" w:rsidRPr="00465E36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298,0</w:t>
            </w:r>
          </w:p>
        </w:tc>
        <w:tc>
          <w:tcPr>
            <w:tcW w:w="2436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965DC" w:rsidRPr="00121503" w:rsidTr="004F0382">
        <w:trPr>
          <w:trHeight w:val="379"/>
        </w:trPr>
        <w:tc>
          <w:tcPr>
            <w:tcW w:w="2532" w:type="dxa"/>
          </w:tcPr>
          <w:p w:rsidR="007965DC" w:rsidRPr="00121503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1503">
              <w:rPr>
                <w:rFonts w:cs="Times New Roman"/>
                <w:color w:val="000000" w:themeColor="text1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231" w:type="dxa"/>
          </w:tcPr>
          <w:p w:rsidR="007965DC" w:rsidRPr="00121503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10284,8</w:t>
            </w:r>
          </w:p>
        </w:tc>
        <w:tc>
          <w:tcPr>
            <w:tcW w:w="2436" w:type="dxa"/>
          </w:tcPr>
          <w:p w:rsidR="007965DC" w:rsidRPr="00465E36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10841,2</w:t>
            </w:r>
          </w:p>
        </w:tc>
        <w:tc>
          <w:tcPr>
            <w:tcW w:w="2224" w:type="dxa"/>
          </w:tcPr>
          <w:p w:rsidR="007965DC" w:rsidRPr="00121503" w:rsidRDefault="00465E36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556,4</w:t>
            </w:r>
          </w:p>
        </w:tc>
      </w:tr>
    </w:tbl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* В фонд не включено: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- оплата труда Главы Администрации муниципального образования Куркинский район, оплата труда работников КДН, АК, ВУС, регистр НПА, компенсация за неиспользованный отпуск, оплата 3-х рабочих дней по листку нетрудоспособности, премирование за счет средств «гранта», доплата за специалиста не являющимся по должности муниципальным служащим</w:t>
      </w:r>
      <w:r w:rsidR="00554AC1">
        <w:rPr>
          <w:rFonts w:cs="Times New Roman"/>
          <w:color w:val="000000" w:themeColor="text1"/>
          <w:sz w:val="28"/>
          <w:szCs w:val="28"/>
        </w:rPr>
        <w:t>, премия муниципальным служащим  из средств межбюджетных трансфертов согласно РПТО от 17.12.2019г №925-р</w:t>
      </w:r>
      <w:r w:rsidRPr="00121503">
        <w:rPr>
          <w:rFonts w:cs="Times New Roman"/>
          <w:color w:val="000000" w:themeColor="text1"/>
          <w:sz w:val="28"/>
          <w:szCs w:val="28"/>
        </w:rPr>
        <w:t>.</w:t>
      </w:r>
      <w:proofErr w:type="gramEnd"/>
    </w:p>
    <w:p w:rsidR="00554AC1" w:rsidRPr="00554AC1" w:rsidRDefault="00554AC1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**С учетом увеличения зарплаты на 10,0% с 1.10.2019г.</w:t>
      </w:r>
    </w:p>
    <w:p w:rsidR="007965DC" w:rsidRPr="00121503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ab/>
      </w:r>
      <w:r w:rsidR="00465E36">
        <w:rPr>
          <w:rFonts w:cs="Times New Roman"/>
          <w:color w:val="000000" w:themeColor="text1"/>
          <w:sz w:val="28"/>
          <w:szCs w:val="28"/>
        </w:rPr>
        <w:t>Экономия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предельного фонда заработной платы, установленного Постановлением №538 и Положением об оплате труда за 2019 год составил</w:t>
      </w:r>
      <w:r w:rsidR="005D4156">
        <w:rPr>
          <w:rFonts w:cs="Times New Roman"/>
          <w:color w:val="000000" w:themeColor="text1"/>
          <w:sz w:val="28"/>
          <w:szCs w:val="28"/>
        </w:rPr>
        <w:t>а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 xml:space="preserve"> около </w:t>
      </w:r>
      <w:r w:rsidR="00465E36">
        <w:rPr>
          <w:rFonts w:cs="Times New Roman"/>
          <w:color w:val="000000" w:themeColor="text1"/>
          <w:sz w:val="28"/>
          <w:szCs w:val="28"/>
        </w:rPr>
        <w:t>556,4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тыс. рублей.</w:t>
      </w:r>
    </w:p>
    <w:p w:rsidR="002A5D9C" w:rsidRPr="002A5D9C" w:rsidRDefault="002A5D9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Pr="00F17535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F17535">
        <w:rPr>
          <w:rFonts w:cs="Times New Roman"/>
          <w:color w:val="000000" w:themeColor="text1"/>
          <w:sz w:val="28"/>
          <w:szCs w:val="28"/>
        </w:rPr>
        <w:t>При проведении контрольного мероприятия так же было выявлено, что сотрудникам, замещающим должности муниципальной службы производится доплата за  отсутствие основного работника в размерах, превышающих оплату труда основного работника по штатной вед</w:t>
      </w:r>
      <w:r w:rsidR="00E80002" w:rsidRPr="00F17535">
        <w:rPr>
          <w:rFonts w:cs="Times New Roman"/>
          <w:color w:val="000000" w:themeColor="text1"/>
          <w:sz w:val="28"/>
          <w:szCs w:val="28"/>
        </w:rPr>
        <w:t>о</w:t>
      </w:r>
      <w:r w:rsidRPr="00F17535">
        <w:rPr>
          <w:rFonts w:cs="Times New Roman"/>
          <w:color w:val="000000" w:themeColor="text1"/>
          <w:sz w:val="28"/>
          <w:szCs w:val="28"/>
        </w:rPr>
        <w:t>мости, а так же за исполнение обязанностей непосредственно относящиеся к должностным обязанностям получателя или другого сотрудника:</w:t>
      </w:r>
    </w:p>
    <w:p w:rsidR="007965DC" w:rsidRPr="00465E36" w:rsidRDefault="007965DC" w:rsidP="007965DC">
      <w:pPr>
        <w:ind w:firstLine="706"/>
        <w:jc w:val="both"/>
        <w:rPr>
          <w:rFonts w:cs="Times New Roman"/>
          <w:color w:val="C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Ф.И.О. работника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Основание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Размер доплаты, руб.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Оплата основного работника по штатной ведомости, примечания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Захарова И.А.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№29-рп 23.01.2019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8000,0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6429,6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№185а-рп 05.06.2019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8000,0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6429,6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№449-рп 12.11.2019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8000,0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7233,3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Никитина Н.А.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№250-рп от25.06.2019г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20000,0</w:t>
            </w:r>
          </w:p>
        </w:tc>
        <w:tc>
          <w:tcPr>
            <w:tcW w:w="2393" w:type="dxa"/>
            <w:vMerge w:val="restart"/>
          </w:tcPr>
          <w:p w:rsidR="007965DC" w:rsidRPr="00F17535" w:rsidRDefault="002A5D9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38553,75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Денисова Е.В.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№249-рп от 25.06.2019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20000,0</w:t>
            </w:r>
          </w:p>
        </w:tc>
        <w:tc>
          <w:tcPr>
            <w:tcW w:w="2393" w:type="dxa"/>
            <w:vMerge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Лысенкова</w:t>
            </w:r>
            <w:proofErr w:type="spellEnd"/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№248-рп от 26.06.2019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20000,0</w:t>
            </w:r>
          </w:p>
        </w:tc>
        <w:tc>
          <w:tcPr>
            <w:tcW w:w="2393" w:type="dxa"/>
            <w:vMerge w:val="restart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43818,7 </w:t>
            </w:r>
            <w:r w:rsidRPr="00F17535">
              <w:rPr>
                <w:rFonts w:cs="Times New Roman"/>
                <w:color w:val="000000" w:themeColor="text1"/>
                <w:lang w:val="ru-RU"/>
              </w:rPr>
              <w:t xml:space="preserve">(В распоряжениях перечислены обязанности  уже входящие в круг обязанностей получателя доплаты </w:t>
            </w:r>
            <w:r w:rsidRPr="00F17535">
              <w:rPr>
                <w:rFonts w:cs="Times New Roman"/>
                <w:color w:val="000000" w:themeColor="text1"/>
                <w:lang w:val="ru-RU"/>
              </w:rPr>
              <w:lastRenderedPageBreak/>
              <w:t>или входящие в обязанности другого специалиста)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Жувага</w:t>
            </w:r>
            <w:proofErr w:type="spellEnd"/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>Распор №251-рп от 26.06.2019</w:t>
            </w:r>
          </w:p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lang w:val="ru-RU"/>
              </w:rPr>
              <w:t xml:space="preserve">Распор №240-рп от 24.06.2019 (на оплату исполнения </w:t>
            </w:r>
            <w:r w:rsidRPr="00F17535">
              <w:rPr>
                <w:rFonts w:cs="Times New Roman"/>
                <w:color w:val="000000" w:themeColor="text1"/>
                <w:lang w:val="ru-RU"/>
              </w:rPr>
              <w:lastRenderedPageBreak/>
              <w:t>обязанностей с 01.05.2019 по24.06.2019)</w:t>
            </w:r>
          </w:p>
        </w:tc>
        <w:tc>
          <w:tcPr>
            <w:tcW w:w="2393" w:type="dxa"/>
          </w:tcPr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15000,0</w:t>
            </w:r>
          </w:p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965DC" w:rsidRPr="00F17535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1753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13000,0</w:t>
            </w:r>
          </w:p>
        </w:tc>
        <w:tc>
          <w:tcPr>
            <w:tcW w:w="2393" w:type="dxa"/>
            <w:vMerge/>
          </w:tcPr>
          <w:p w:rsidR="007965DC" w:rsidRPr="00465E36" w:rsidRDefault="007965DC" w:rsidP="004F0382">
            <w:pPr>
              <w:jc w:val="both"/>
              <w:rPr>
                <w:rFonts w:cs="Times New Roman"/>
                <w:color w:val="C00000"/>
                <w:sz w:val="28"/>
                <w:szCs w:val="28"/>
                <w:lang w:val="ru-RU"/>
              </w:rPr>
            </w:pPr>
          </w:p>
        </w:tc>
      </w:tr>
      <w:tr w:rsidR="007965DC" w:rsidRPr="00465E36" w:rsidTr="004F0382">
        <w:tc>
          <w:tcPr>
            <w:tcW w:w="2392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Долотова</w:t>
            </w:r>
            <w:proofErr w:type="spellEnd"/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lang w:val="ru-RU"/>
              </w:rPr>
              <w:t>Распор №195а-рп от 06.06.2019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10000,0</w:t>
            </w:r>
          </w:p>
        </w:tc>
        <w:tc>
          <w:tcPr>
            <w:tcW w:w="2393" w:type="dxa"/>
            <w:vMerge w:val="restart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15082,3</w:t>
            </w:r>
          </w:p>
        </w:tc>
      </w:tr>
      <w:tr w:rsidR="007965DC" w:rsidRPr="00465E36" w:rsidTr="004F0382">
        <w:tc>
          <w:tcPr>
            <w:tcW w:w="2392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Лысенкова</w:t>
            </w:r>
            <w:proofErr w:type="spellEnd"/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lang w:val="ru-RU"/>
              </w:rPr>
              <w:t>Распор №228-рп от 17.06.2019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10000,0</w:t>
            </w:r>
          </w:p>
        </w:tc>
        <w:tc>
          <w:tcPr>
            <w:tcW w:w="2393" w:type="dxa"/>
            <w:vMerge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65DC" w:rsidRPr="00465E36" w:rsidTr="004F0382">
        <w:tc>
          <w:tcPr>
            <w:tcW w:w="2392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Крылова Н.Н.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lang w:val="ru-RU"/>
              </w:rPr>
              <w:t>Распор №349-рп от 23.08.2019</w:t>
            </w:r>
          </w:p>
        </w:tc>
        <w:tc>
          <w:tcPr>
            <w:tcW w:w="2393" w:type="dxa"/>
          </w:tcPr>
          <w:p w:rsidR="007965DC" w:rsidRPr="003B29CA" w:rsidRDefault="007965DC" w:rsidP="004F038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3B29C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5000,0</w:t>
            </w:r>
          </w:p>
        </w:tc>
        <w:tc>
          <w:tcPr>
            <w:tcW w:w="2393" w:type="dxa"/>
          </w:tcPr>
          <w:p w:rsidR="007965DC" w:rsidRPr="00CE0F51" w:rsidRDefault="00CE0F51" w:rsidP="004F0382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За реализацию муниципального проекта «Демография»</w:t>
            </w:r>
          </w:p>
        </w:tc>
      </w:tr>
    </w:tbl>
    <w:p w:rsidR="007965DC" w:rsidRPr="00465E36" w:rsidRDefault="007965DC" w:rsidP="007965DC">
      <w:pPr>
        <w:ind w:firstLine="706"/>
        <w:jc w:val="both"/>
        <w:rPr>
          <w:rFonts w:cs="Times New Roman"/>
          <w:color w:val="C00000"/>
          <w:sz w:val="28"/>
          <w:szCs w:val="28"/>
        </w:rPr>
      </w:pPr>
    </w:p>
    <w:p w:rsidR="00E44D66" w:rsidRPr="00E44D66" w:rsidRDefault="00E44D66" w:rsidP="00E44D66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E44D66">
        <w:rPr>
          <w:rStyle w:val="blk"/>
          <w:rFonts w:cs="Times New Roman"/>
          <w:color w:val="000000" w:themeColor="text1"/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E44D66" w:rsidRDefault="00E44D66" w:rsidP="00E44D66">
      <w:pPr>
        <w:ind w:firstLine="540"/>
        <w:jc w:val="both"/>
        <w:rPr>
          <w:rStyle w:val="blk"/>
          <w:rFonts w:cs="Times New Roman"/>
          <w:color w:val="000000" w:themeColor="text1"/>
          <w:sz w:val="28"/>
          <w:szCs w:val="28"/>
        </w:rPr>
      </w:pPr>
      <w:bookmarkStart w:id="1" w:name="dst711"/>
      <w:bookmarkEnd w:id="1"/>
      <w:r w:rsidRPr="00E44D66">
        <w:rPr>
          <w:rStyle w:val="blk"/>
          <w:rFonts w:cs="Times New Roman"/>
          <w:color w:val="000000" w:themeColor="text1"/>
          <w:sz w:val="28"/>
          <w:szCs w:val="28"/>
        </w:rPr>
        <w:t xml:space="preserve">Размер доплаты устанавливается по соглашению сторон трудового договора с учетом содержания и (или) объема дополнительной работы </w:t>
      </w:r>
      <w:r>
        <w:rPr>
          <w:rStyle w:val="blk"/>
          <w:rFonts w:cs="Times New Roman"/>
          <w:color w:val="000000" w:themeColor="text1"/>
          <w:sz w:val="28"/>
          <w:szCs w:val="28"/>
        </w:rPr>
        <w:t xml:space="preserve">и может быть </w:t>
      </w:r>
      <w:proofErr w:type="gramStart"/>
      <w:r>
        <w:rPr>
          <w:rStyle w:val="blk"/>
          <w:rFonts w:cs="Times New Roman"/>
          <w:color w:val="000000" w:themeColor="text1"/>
          <w:sz w:val="28"/>
          <w:szCs w:val="28"/>
        </w:rPr>
        <w:t>поручена</w:t>
      </w:r>
      <w:proofErr w:type="gramEnd"/>
      <w:r>
        <w:rPr>
          <w:rStyle w:val="blk"/>
          <w:rFonts w:cs="Times New Roman"/>
          <w:color w:val="000000" w:themeColor="text1"/>
          <w:sz w:val="28"/>
          <w:szCs w:val="28"/>
        </w:rPr>
        <w:t xml:space="preserve"> сотруднику, обладающему необходимым опытом работы и соответствующим образованием. Конкретный размер доплаты законодательно не урегулирован.</w:t>
      </w:r>
    </w:p>
    <w:p w:rsidR="00E44D66" w:rsidRPr="00E44D66" w:rsidRDefault="00E44D66" w:rsidP="00E44D66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Style w:val="blk"/>
          <w:rFonts w:cs="Times New Roman"/>
          <w:color w:val="000000" w:themeColor="text1"/>
          <w:sz w:val="28"/>
          <w:szCs w:val="28"/>
        </w:rPr>
        <w:t>Доплата Н.Н.Крыловой</w:t>
      </w:r>
      <w:r w:rsidR="001E548D">
        <w:rPr>
          <w:rStyle w:val="blk"/>
          <w:rFonts w:cs="Times New Roman"/>
          <w:color w:val="000000" w:themeColor="text1"/>
          <w:sz w:val="28"/>
          <w:szCs w:val="28"/>
        </w:rPr>
        <w:t xml:space="preserve"> должна </w:t>
      </w:r>
      <w:proofErr w:type="gramStart"/>
      <w:r w:rsidR="001E548D">
        <w:rPr>
          <w:rStyle w:val="blk"/>
          <w:rFonts w:cs="Times New Roman"/>
          <w:color w:val="000000" w:themeColor="text1"/>
          <w:sz w:val="28"/>
          <w:szCs w:val="28"/>
        </w:rPr>
        <w:t>производится</w:t>
      </w:r>
      <w:proofErr w:type="gramEnd"/>
      <w:r w:rsidR="001E548D">
        <w:rPr>
          <w:rStyle w:val="blk"/>
          <w:rFonts w:cs="Times New Roman"/>
          <w:color w:val="000000" w:themeColor="text1"/>
          <w:sz w:val="28"/>
          <w:szCs w:val="28"/>
        </w:rPr>
        <w:t xml:space="preserve"> в соответствии</w:t>
      </w:r>
      <w:r>
        <w:rPr>
          <w:rStyle w:val="blk"/>
          <w:rFonts w:cs="Times New Roman"/>
          <w:color w:val="000000" w:themeColor="text1"/>
          <w:sz w:val="28"/>
          <w:szCs w:val="28"/>
        </w:rPr>
        <w:t xml:space="preserve"> </w:t>
      </w:r>
      <w:r w:rsidR="001E548D">
        <w:rPr>
          <w:rStyle w:val="blk"/>
          <w:rFonts w:cs="Times New Roman"/>
          <w:color w:val="000000" w:themeColor="text1"/>
          <w:sz w:val="28"/>
          <w:szCs w:val="28"/>
        </w:rPr>
        <w:t>с действующим Положением об оплате труда</w:t>
      </w:r>
      <w:r w:rsidR="002A5D9C">
        <w:rPr>
          <w:rStyle w:val="blk"/>
          <w:rFonts w:cs="Times New Roman"/>
          <w:color w:val="000000" w:themeColor="text1"/>
          <w:sz w:val="28"/>
          <w:szCs w:val="28"/>
        </w:rPr>
        <w:t xml:space="preserve"> с использованием утвержденных</w:t>
      </w:r>
      <w:r w:rsidR="00863ED1">
        <w:rPr>
          <w:rStyle w:val="blk"/>
          <w:rFonts w:cs="Times New Roman"/>
          <w:color w:val="000000" w:themeColor="text1"/>
          <w:sz w:val="28"/>
          <w:szCs w:val="28"/>
        </w:rPr>
        <w:t xml:space="preserve"> дополнительных выплат</w:t>
      </w:r>
      <w:r w:rsidR="001E548D">
        <w:rPr>
          <w:rStyle w:val="blk"/>
          <w:rFonts w:cs="Times New Roman"/>
          <w:color w:val="000000" w:themeColor="text1"/>
          <w:sz w:val="28"/>
          <w:szCs w:val="28"/>
        </w:rPr>
        <w:t>.</w:t>
      </w:r>
    </w:p>
    <w:p w:rsidR="007965DC" w:rsidRPr="00E44D66" w:rsidRDefault="007965DC" w:rsidP="00E44D6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color w:val="000000" w:themeColor="text1"/>
          <w:sz w:val="28"/>
          <w:szCs w:val="28"/>
          <w:lang w:val="de-DE" w:eastAsia="en-US"/>
        </w:rPr>
      </w:pP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3. В соответствии со ст. 126. Трудов</w:t>
      </w:r>
      <w:r>
        <w:rPr>
          <w:rFonts w:cs="Times New Roman"/>
          <w:color w:val="000000" w:themeColor="text1"/>
          <w:sz w:val="28"/>
          <w:szCs w:val="28"/>
        </w:rPr>
        <w:t>ого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кодекс</w:t>
      </w:r>
      <w:r>
        <w:rPr>
          <w:rFonts w:cs="Times New Roman"/>
          <w:color w:val="000000" w:themeColor="text1"/>
          <w:sz w:val="28"/>
          <w:szCs w:val="28"/>
        </w:rPr>
        <w:t>а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Российской Федерации (далее – ТК РФ) часть ежегодного оплачиваемого отпуска, превышающая 28 календарных дней, по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письменному</w:t>
      </w:r>
      <w:proofErr w:type="gramEnd"/>
      <w:r w:rsidRPr="00121503">
        <w:rPr>
          <w:rFonts w:cs="Times New Roman"/>
          <w:color w:val="000000" w:themeColor="text1"/>
          <w:sz w:val="28"/>
          <w:szCs w:val="28"/>
        </w:rPr>
        <w:t xml:space="preserve"> заявлению работника может быть заменена денежной компенсацией. При суммировании ежегодных оплачиваемых отпусков или перенесении ежегодного оплачиваемого отпуска на следующий рабочий год денежной</w:t>
      </w:r>
      <w:r w:rsidRPr="00373C47">
        <w:rPr>
          <w:rFonts w:cs="Times New Roman"/>
          <w:color w:val="000000" w:themeColor="text1"/>
          <w:sz w:val="28"/>
          <w:szCs w:val="28"/>
        </w:rPr>
        <w:t xml:space="preserve"> компенсацией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AD2321" w:rsidRPr="00AD2321" w:rsidRDefault="00AD2321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AD2321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8" w:tgtFrame="_blank">
        <w:r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Статья 97</w:t>
        </w:r>
      </w:hyperlink>
      <w:r w:rsidR="00AD2321"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ТК РФ, разграничивает возможность переработки на два случая: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для сверхурочной работы и для работы в условиях ненормированного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рабочего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времени.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Другими словами,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за работу в режиме ненормированного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рабочего дня предоставляется компенсация только в виде дополнительного отпуска, </w:t>
      </w:r>
      <w:r w:rsidRPr="00373C47">
        <w:rPr>
          <w:rFonts w:cs="Times New Roman"/>
          <w:color w:val="000000" w:themeColor="text1"/>
          <w:sz w:val="28"/>
          <w:szCs w:val="28"/>
        </w:rPr>
        <w:t>продолжительность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которого определяется коллективным договором или правилами внутреннего трудового распорядка и не может быть менее трех</w:t>
      </w:r>
      <w:r w:rsidRPr="00373C47">
        <w:rPr>
          <w:rFonts w:cs="Times New Roman"/>
          <w:color w:val="000000" w:themeColor="text1"/>
          <w:sz w:val="28"/>
          <w:szCs w:val="28"/>
        </w:rPr>
        <w:t xml:space="preserve"> календарных дней</w:t>
      </w:r>
      <w:r w:rsidRPr="00121503">
        <w:rPr>
          <w:rFonts w:cs="Times New Roman"/>
          <w:color w:val="000000" w:themeColor="text1"/>
          <w:sz w:val="28"/>
          <w:szCs w:val="28"/>
        </w:rPr>
        <w:t>.</w:t>
      </w:r>
    </w:p>
    <w:p w:rsidR="00863ED1" w:rsidRDefault="00260086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hyperlink r:id="rId9" w:tgtFrame="_blank">
        <w:r w:rsidR="007965DC"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Правила</w:t>
        </w:r>
      </w:hyperlink>
      <w:r w:rsidR="007965DC" w:rsidRPr="00121503">
        <w:rPr>
          <w:rFonts w:cs="Times New Roman"/>
          <w:color w:val="000000" w:themeColor="text1"/>
          <w:sz w:val="28"/>
          <w:szCs w:val="28"/>
        </w:rPr>
        <w:t xml:space="preserve"> предоставления ежегодного дополнительного оплачиваемого отпуска муниципальным служащим с ненормированным рабочим днем регулируются нормативными правовыми актами органов местного самоуправления (</w:t>
      </w:r>
      <w:hyperlink r:id="rId10" w:tgtFrame="_blank">
        <w:proofErr w:type="gramStart"/>
        <w:r w:rsidR="007965DC"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ч</w:t>
        </w:r>
        <w:proofErr w:type="gramEnd"/>
        <w:r w:rsidR="007965DC" w:rsidRPr="00121503">
          <w:rPr>
            <w:rStyle w:val="a4"/>
            <w:rFonts w:cs="Times New Roman"/>
            <w:color w:val="000000" w:themeColor="text1"/>
            <w:sz w:val="28"/>
            <w:szCs w:val="28"/>
          </w:rPr>
          <w:t>. 2 ст. 119</w:t>
        </w:r>
      </w:hyperlink>
      <w:r w:rsidR="007965DC" w:rsidRPr="00121503">
        <w:rPr>
          <w:rFonts w:cs="Times New Roman"/>
          <w:color w:val="000000" w:themeColor="text1"/>
          <w:sz w:val="28"/>
          <w:szCs w:val="28"/>
        </w:rPr>
        <w:t xml:space="preserve">ТК РФ). 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65DC" w:rsidRPr="00471EA6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lastRenderedPageBreak/>
        <w:t xml:space="preserve">Кроме этого работник может написать заявление о перенесении ему отпуска с указанием причины, количества дней, даты начала и окончания отпуска. К </w:t>
      </w:r>
      <w:proofErr w:type="gramStart"/>
      <w:r w:rsidRPr="00121503">
        <w:rPr>
          <w:rFonts w:cs="Times New Roman"/>
          <w:color w:val="000000" w:themeColor="text1"/>
          <w:sz w:val="28"/>
          <w:szCs w:val="28"/>
        </w:rPr>
        <w:t>данному</w:t>
      </w:r>
      <w:proofErr w:type="gramEnd"/>
      <w:r w:rsidRPr="00373C47">
        <w:rPr>
          <w:rFonts w:cs="Times New Roman"/>
          <w:color w:val="000000" w:themeColor="text1"/>
          <w:sz w:val="28"/>
          <w:szCs w:val="28"/>
        </w:rPr>
        <w:t xml:space="preserve"> заявлению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необходимо приложить документы, на основании которых отпуск должен быть перенесен. Однако работодателю следует учитывать, что замена части отпуска денежной компенсацией является его правом, а не обязанностью, т.е. он может и отказать работнику.</w:t>
      </w:r>
    </w:p>
    <w:p w:rsidR="007965DC" w:rsidRPr="00DC16B9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При проверке установлено, что 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В нарушении статьи 123  ТК РФ график утвержден с нарушением установленных сроков (14.12.2019г на 2019год).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в Графике отпусков за 2019 год нет  никаких данных о фактической дате предоставленного отпуска, об отзыве сотрудников из очередных отпусков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в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связи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с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производственной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необходимостью,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а также нет данных о переносе им на следующий финансовый год ежегодных дополнительных отпусков, оснований изменения и дате предполагаемого отпуска. 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В </w:t>
      </w:r>
      <w:r w:rsidR="00DC0F54">
        <w:rPr>
          <w:rFonts w:cs="Times New Roman"/>
          <w:color w:val="000000" w:themeColor="text1"/>
          <w:sz w:val="28"/>
          <w:szCs w:val="28"/>
        </w:rPr>
        <w:t>материалах кадровой службы отсутствуют заявления сотрудников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о переносе им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отпусков на другой период работы с указанием каких-либо причин.</w:t>
      </w:r>
    </w:p>
    <w:p w:rsidR="007965DC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Очередной отпуск в соответствии с утвержденным графиком на 2019 год не предоставлен ни одному  специалисту, за исключением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работник</w:t>
      </w:r>
      <w:r>
        <w:rPr>
          <w:rFonts w:cs="Times New Roman"/>
          <w:color w:val="000000" w:themeColor="text1"/>
          <w:sz w:val="28"/>
          <w:szCs w:val="28"/>
        </w:rPr>
        <w:t>ов</w:t>
      </w:r>
      <w:r w:rsidRPr="00121503">
        <w:rPr>
          <w:rFonts w:cs="Times New Roman"/>
          <w:color w:val="000000" w:themeColor="text1"/>
          <w:sz w:val="28"/>
          <w:szCs w:val="28"/>
        </w:rPr>
        <w:t xml:space="preserve"> Сектора сельского хозяйства комитета по жи</w:t>
      </w:r>
      <w:r w:rsidR="00DC0F54">
        <w:rPr>
          <w:rFonts w:cs="Times New Roman"/>
          <w:color w:val="000000" w:themeColor="text1"/>
          <w:sz w:val="28"/>
          <w:szCs w:val="28"/>
        </w:rPr>
        <w:t>з</w:t>
      </w:r>
      <w:r w:rsidRPr="00121503">
        <w:rPr>
          <w:rFonts w:cs="Times New Roman"/>
          <w:color w:val="000000" w:themeColor="text1"/>
          <w:sz w:val="28"/>
          <w:szCs w:val="28"/>
        </w:rPr>
        <w:t>необеспечению</w:t>
      </w:r>
      <w:r w:rsidRPr="00EB5C8F">
        <w:rPr>
          <w:rFonts w:cs="Times New Roman"/>
          <w:color w:val="000000" w:themeColor="text1"/>
          <w:sz w:val="28"/>
          <w:szCs w:val="28"/>
        </w:rPr>
        <w:t xml:space="preserve"> </w:t>
      </w:r>
      <w:r w:rsidRPr="00121503">
        <w:rPr>
          <w:rFonts w:cs="Times New Roman"/>
          <w:color w:val="000000" w:themeColor="text1"/>
          <w:sz w:val="28"/>
          <w:szCs w:val="28"/>
        </w:rPr>
        <w:t>с полным соблюдением сроков предоставления.</w:t>
      </w:r>
    </w:p>
    <w:p w:rsidR="001E548D" w:rsidRDefault="001E548D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DC0F54" w:rsidRDefault="00DC0F54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График отпусков </w:t>
      </w:r>
      <w:r w:rsidR="00461BAA">
        <w:rPr>
          <w:rFonts w:cs="Times New Roman"/>
          <w:color w:val="000000" w:themeColor="text1"/>
          <w:sz w:val="28"/>
          <w:szCs w:val="28"/>
        </w:rPr>
        <w:t xml:space="preserve">по итогам проверки </w:t>
      </w:r>
      <w:r>
        <w:rPr>
          <w:rFonts w:cs="Times New Roman"/>
          <w:color w:val="000000" w:themeColor="text1"/>
          <w:sz w:val="28"/>
          <w:szCs w:val="28"/>
        </w:rPr>
        <w:t xml:space="preserve">за 2019год </w:t>
      </w:r>
      <w:r w:rsidR="00863ED1">
        <w:rPr>
          <w:rFonts w:cs="Times New Roman"/>
          <w:color w:val="000000" w:themeColor="text1"/>
          <w:sz w:val="28"/>
          <w:szCs w:val="28"/>
        </w:rPr>
        <w:t xml:space="preserve">доработан и </w:t>
      </w:r>
      <w:r>
        <w:rPr>
          <w:rFonts w:cs="Times New Roman"/>
          <w:color w:val="000000" w:themeColor="text1"/>
          <w:sz w:val="28"/>
          <w:szCs w:val="28"/>
        </w:rPr>
        <w:t>представлен с учетом всех требо</w:t>
      </w:r>
      <w:r w:rsidR="00461BAA">
        <w:rPr>
          <w:rFonts w:cs="Times New Roman"/>
          <w:color w:val="000000" w:themeColor="text1"/>
          <w:sz w:val="28"/>
          <w:szCs w:val="28"/>
        </w:rPr>
        <w:t>ва</w:t>
      </w:r>
      <w:r>
        <w:rPr>
          <w:rFonts w:cs="Times New Roman"/>
          <w:color w:val="000000" w:themeColor="text1"/>
          <w:sz w:val="28"/>
          <w:szCs w:val="28"/>
        </w:rPr>
        <w:t>ний.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CC6C29" w:rsidRPr="00824B0B" w:rsidRDefault="007965DC" w:rsidP="00CC6C29">
      <w:pPr>
        <w:jc w:val="both"/>
        <w:rPr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  <w:r w:rsidR="00CC6C29">
        <w:rPr>
          <w:rFonts w:cs="Times New Roman"/>
          <w:color w:val="000000" w:themeColor="text1"/>
          <w:sz w:val="28"/>
          <w:szCs w:val="28"/>
        </w:rPr>
        <w:tab/>
      </w:r>
      <w:r w:rsidR="00CC6C29" w:rsidRPr="00824B0B">
        <w:rPr>
          <w:rFonts w:ascii="Roman" w:eastAsia="Times New Roman" w:hAnsi="Roman" w:cs="Arial"/>
          <w:color w:val="000000" w:themeColor="text1"/>
          <w:sz w:val="28"/>
          <w:szCs w:val="28"/>
          <w:lang w:eastAsia="ru-RU"/>
        </w:rPr>
        <w:t>Ситуации, когда у сотрудника есть неиспользованные отпуска сразу за несколько лет, недопустимы. Не может быть так, что у сотрудника остались 5 дней отдыха за 2013 год, 2 дня – за 2014 г. и ещё 15 дней за 2015-й. При выявлении подобной ошибки специалист кадровой службы должен внести в личное дело соответствующие корректировки и далее считать, что у работника не использовано 22 дня отпуска за 2015 год. (Консультация Трудовой инспекции)</w:t>
      </w:r>
      <w:r w:rsidR="00154F86">
        <w:rPr>
          <w:rFonts w:ascii="Roman" w:eastAsia="Times New Roman" w:hAnsi="Roman" w:cs="Arial"/>
          <w:color w:val="000000" w:themeColor="text1"/>
          <w:sz w:val="28"/>
          <w:szCs w:val="28"/>
          <w:lang w:eastAsia="ru-RU"/>
        </w:rPr>
        <w:t>.</w:t>
      </w:r>
    </w:p>
    <w:p w:rsidR="007965DC" w:rsidRDefault="007965DC" w:rsidP="00CC6C29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>Фактов выплаты отпускных за предыдущие года, а так же выплаты компенсаций за неиспользованные отпуска за предыдущие года без каких-либо причин и за еще не отработанный период времени не выявлено.</w:t>
      </w:r>
    </w:p>
    <w:p w:rsidR="007965DC" w:rsidRPr="00121503" w:rsidRDefault="007965DC" w:rsidP="007965DC">
      <w:pPr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65DC" w:rsidRPr="00121503" w:rsidRDefault="007965DC" w:rsidP="007965DC">
      <w:pPr>
        <w:ind w:firstLine="54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121503">
        <w:rPr>
          <w:rFonts w:cs="Times New Roman"/>
          <w:color w:val="000000" w:themeColor="text1"/>
          <w:sz w:val="28"/>
          <w:szCs w:val="28"/>
        </w:rPr>
        <w:t xml:space="preserve">В нарушение статьи </w:t>
      </w:r>
      <w:r w:rsidRPr="0012150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125 ТК РФ «Разделение ежегодного оплачиваемого отпуска на части. Отзыв из отпуска»  абзацем 1 предусмотрено: </w:t>
      </w:r>
    </w:p>
    <w:p w:rsidR="007965DC" w:rsidRDefault="007965DC" w:rsidP="007965DC"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2150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дней…».</w:t>
      </w:r>
    </w:p>
    <w:p w:rsidR="007965DC" w:rsidRDefault="007965DC" w:rsidP="007965DC"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65DC" w:rsidRDefault="007965DC" w:rsidP="007965DC"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Сотрудникам Азаровой Г.Ф., </w:t>
      </w:r>
      <w:proofErr w:type="spellStart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Жувага</w:t>
      </w:r>
      <w:proofErr w:type="spellEnd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Т.В., Коваленко О.Н., Крыловой </w:t>
      </w:r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Н.Н. и </w:t>
      </w:r>
      <w:proofErr w:type="spellStart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Ломовской</w:t>
      </w:r>
      <w:proofErr w:type="spellEnd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Е.Е.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2019 году </w:t>
      </w:r>
      <w:proofErr w:type="gramStart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были предоставлены частичные отпуска ни одна из которых не была</w:t>
      </w:r>
      <w:proofErr w:type="gramEnd"/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863E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r w:rsidRPr="0012150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вна или более 14 календарных дней.</w:t>
      </w:r>
    </w:p>
    <w:p w:rsidR="007965DC" w:rsidRDefault="007965DC" w:rsidP="007965DC"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65DC" w:rsidRDefault="007965DC" w:rsidP="007965DC">
      <w:pPr>
        <w:ind w:firstLine="540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4. Возмещение расходов, связанных со служебными командировками специалистам Администрации, а точнее расходы на выплату суточных </w:t>
      </w:r>
      <w:r w:rsidRPr="00EB5C8F">
        <w:rPr>
          <w:rFonts w:eastAsia="Times New Roman" w:cs="Times New Roman"/>
          <w:sz w:val="28"/>
          <w:szCs w:val="28"/>
          <w:lang w:eastAsia="ru-RU"/>
        </w:rPr>
        <w:t>производились  в размере</w:t>
      </w:r>
      <w:r w:rsidRPr="00EB5C8F">
        <w:rPr>
          <w:rFonts w:cs="Times New Roman"/>
          <w:spacing w:val="2"/>
          <w:sz w:val="28"/>
          <w:szCs w:val="28"/>
          <w:shd w:val="clear" w:color="auto" w:fill="FFFFFF"/>
        </w:rPr>
        <w:t xml:space="preserve">  250 рублей за каждый день нахождения в служебной командировке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7965DC" w:rsidRDefault="007965DC" w:rsidP="007965DC">
      <w:pPr>
        <w:ind w:firstLine="540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В настоящее время в Администрации муниципального образования Куркинский </w:t>
      </w:r>
      <w:r w:rsidRPr="00E020F0">
        <w:rPr>
          <w:rFonts w:cs="Times New Roman"/>
          <w:spacing w:val="2"/>
          <w:sz w:val="28"/>
          <w:szCs w:val="28"/>
          <w:shd w:val="clear" w:color="auto" w:fill="FFFFFF"/>
        </w:rPr>
        <w:t>район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E020F0">
        <w:rPr>
          <w:rFonts w:cs="Times New Roman"/>
          <w:spacing w:val="2"/>
          <w:sz w:val="28"/>
          <w:szCs w:val="28"/>
          <w:shd w:val="clear" w:color="auto" w:fill="FFFFFF"/>
        </w:rPr>
        <w:t xml:space="preserve"> Порядок 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020F0">
        <w:rPr>
          <w:rFonts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020F0">
        <w:rPr>
          <w:rFonts w:cs="Times New Roman"/>
          <w:spacing w:val="2"/>
          <w:sz w:val="28"/>
          <w:szCs w:val="28"/>
          <w:shd w:val="clear" w:color="auto" w:fill="FFFFFF"/>
        </w:rPr>
        <w:t xml:space="preserve"> размеры возмещения расходов, связанных со служебными командировками, работникам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муниципальных органов власти и муниципальных учреждений не утвержден.</w:t>
      </w:r>
    </w:p>
    <w:p w:rsidR="00CC6C29" w:rsidRDefault="00CC6C29" w:rsidP="007965DC">
      <w:pPr>
        <w:ind w:firstLine="540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cs="Times New Roman"/>
          <w:spacing w:val="2"/>
          <w:sz w:val="28"/>
          <w:szCs w:val="28"/>
          <w:shd w:val="clear" w:color="auto" w:fill="FFFFFF"/>
        </w:rPr>
        <w:t>На момент написания настоящего Акта в Собрание представителей поступил Проект  решения об утверждении Положения «О возмещении командировочных расходов….»</w:t>
      </w:r>
    </w:p>
    <w:p w:rsidR="00863ED1" w:rsidRDefault="00863ED1" w:rsidP="007965DC">
      <w:pPr>
        <w:ind w:firstLine="540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</w:p>
    <w:p w:rsidR="007965DC" w:rsidRPr="00EC5F24" w:rsidRDefault="007965DC" w:rsidP="007965DC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5. </w:t>
      </w:r>
      <w:r w:rsidRPr="002A546C">
        <w:rPr>
          <w:rFonts w:cs="Times New Roman"/>
          <w:spacing w:val="2"/>
          <w:sz w:val="28"/>
          <w:szCs w:val="28"/>
          <w:shd w:val="clear" w:color="auto" w:fill="FFFFFF"/>
        </w:rPr>
        <w:t xml:space="preserve">Нарушений при </w:t>
      </w:r>
      <w:r w:rsidRPr="002A546C">
        <w:rPr>
          <w:rFonts w:cs="Times New Roman"/>
          <w:color w:val="000000" w:themeColor="text1"/>
          <w:sz w:val="28"/>
          <w:szCs w:val="28"/>
        </w:rPr>
        <w:t>начислени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Pr="002A546C">
        <w:rPr>
          <w:rFonts w:cs="Times New Roman"/>
          <w:color w:val="000000" w:themeColor="text1"/>
          <w:sz w:val="28"/>
          <w:szCs w:val="28"/>
        </w:rPr>
        <w:t xml:space="preserve"> заработной платы муниципальным и немуниципальным служащим Администрации  муниципального образования  Куркинский район за 2019 год и январь - март 2020 года</w:t>
      </w:r>
      <w:r>
        <w:rPr>
          <w:rFonts w:cs="Times New Roman"/>
          <w:color w:val="000000" w:themeColor="text1"/>
          <w:sz w:val="28"/>
          <w:szCs w:val="28"/>
        </w:rPr>
        <w:t xml:space="preserve"> не выявлено.</w:t>
      </w:r>
      <w:r w:rsidR="00EC5F24" w:rsidRPr="00EC5F24">
        <w:rPr>
          <w:rFonts w:cs="Times New Roman"/>
          <w:color w:val="000000" w:themeColor="text1"/>
          <w:sz w:val="28"/>
          <w:szCs w:val="28"/>
        </w:rPr>
        <w:t xml:space="preserve">   </w:t>
      </w:r>
    </w:p>
    <w:p w:rsidR="00EC5F24" w:rsidRPr="00EC5F24" w:rsidRDefault="00EC5F24" w:rsidP="007965DC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При проверке начисления заработной платы сотрудникам финансового управления Администрации  муниципального образования Куркинский район выявлено:</w:t>
      </w:r>
    </w:p>
    <w:p w:rsidR="007965DC" w:rsidRDefault="007965DC" w:rsidP="007965DC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Клиновой Д.В. доплатить расчет очередного отпуска 1057,43 рубля, удержать расчет доплаты за «чин» 82,76 рубля;</w:t>
      </w:r>
    </w:p>
    <w:p w:rsidR="007965DC" w:rsidRDefault="007965DC" w:rsidP="007965DC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Фомеевой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О.И. удержать расчет доплаты за «чин» в сумме 130,61 рублей.</w:t>
      </w:r>
    </w:p>
    <w:p w:rsidR="007965DC" w:rsidRPr="005D4156" w:rsidRDefault="00461BAA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настоящий момент вышеуказанные недочеты устранены (расчетно-платежная ведомость №4 за апрель 2020г)</w:t>
      </w:r>
      <w:r w:rsidR="001E548D">
        <w:rPr>
          <w:rFonts w:cs="Times New Roman"/>
          <w:color w:val="000000" w:themeColor="text1"/>
          <w:sz w:val="28"/>
          <w:szCs w:val="28"/>
        </w:rPr>
        <w:t>.</w:t>
      </w:r>
    </w:p>
    <w:p w:rsidR="00EC5F24" w:rsidRPr="005D4156" w:rsidRDefault="00EC5F24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EC5F24" w:rsidRPr="005D4156" w:rsidRDefault="00EC5F24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863ED1" w:rsidRDefault="00863ED1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EC5F24" w:rsidRDefault="00EC5F24" w:rsidP="00EC5F24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Глава Администрации </w:t>
      </w:r>
      <w:proofErr w:type="gramStart"/>
      <w:r>
        <w:rPr>
          <w:rFonts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EC5F24" w:rsidRPr="004B54A7" w:rsidRDefault="00EC5F24" w:rsidP="00EC5F24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образования Куркинский район                                         Г.М.Калина</w:t>
      </w:r>
    </w:p>
    <w:p w:rsidR="00863ED1" w:rsidRDefault="00863ED1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863ED1" w:rsidRDefault="00863ED1" w:rsidP="00AD2321">
      <w:pPr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>
        <w:rPr>
          <w:rFonts w:cs="Times New Roman"/>
          <w:color w:val="000000" w:themeColor="text1"/>
          <w:sz w:val="28"/>
          <w:szCs w:val="28"/>
        </w:rPr>
        <w:t>контрольно-ревизионной</w:t>
      </w:r>
      <w:proofErr w:type="gramEnd"/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комиссии МО Куркинский район                                       Е.В.</w:t>
      </w:r>
      <w:proofErr w:type="gramStart"/>
      <w:r>
        <w:rPr>
          <w:rFonts w:cs="Times New Roman"/>
          <w:color w:val="000000" w:themeColor="text1"/>
          <w:sz w:val="28"/>
          <w:szCs w:val="28"/>
        </w:rPr>
        <w:t>Степина</w:t>
      </w:r>
      <w:proofErr w:type="gramEnd"/>
    </w:p>
    <w:p w:rsidR="00863ED1" w:rsidRDefault="00863ED1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863ED1" w:rsidRPr="005D4156" w:rsidRDefault="00863ED1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7965DC" w:rsidRDefault="007965DC" w:rsidP="007965DC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0034E6" w:rsidRPr="007965DC" w:rsidRDefault="000034E6"/>
    <w:sectPr w:rsidR="000034E6" w:rsidRPr="007965DC" w:rsidSect="0000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DC"/>
    <w:rsid w:val="000034E6"/>
    <w:rsid w:val="000E0E39"/>
    <w:rsid w:val="00154F86"/>
    <w:rsid w:val="001C77C8"/>
    <w:rsid w:val="001E548D"/>
    <w:rsid w:val="00260086"/>
    <w:rsid w:val="002A5D9C"/>
    <w:rsid w:val="002C61BF"/>
    <w:rsid w:val="00373C47"/>
    <w:rsid w:val="003B29CA"/>
    <w:rsid w:val="003C458C"/>
    <w:rsid w:val="00445B73"/>
    <w:rsid w:val="00454942"/>
    <w:rsid w:val="00461BAA"/>
    <w:rsid w:val="00465E36"/>
    <w:rsid w:val="00554AC1"/>
    <w:rsid w:val="005D4156"/>
    <w:rsid w:val="0063084F"/>
    <w:rsid w:val="00631E78"/>
    <w:rsid w:val="006E649B"/>
    <w:rsid w:val="007130EE"/>
    <w:rsid w:val="007965DC"/>
    <w:rsid w:val="00830AB2"/>
    <w:rsid w:val="00863ED1"/>
    <w:rsid w:val="00AD2321"/>
    <w:rsid w:val="00B41395"/>
    <w:rsid w:val="00C11815"/>
    <w:rsid w:val="00C82042"/>
    <w:rsid w:val="00CC6C29"/>
    <w:rsid w:val="00CE0F51"/>
    <w:rsid w:val="00DA556F"/>
    <w:rsid w:val="00DC0F54"/>
    <w:rsid w:val="00E44D66"/>
    <w:rsid w:val="00E80002"/>
    <w:rsid w:val="00EC5F24"/>
    <w:rsid w:val="00F1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DC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DC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65DC"/>
    <w:rPr>
      <w:color w:val="0000FF" w:themeColor="hyperlink"/>
      <w:u w:val="single"/>
    </w:rPr>
  </w:style>
  <w:style w:type="character" w:customStyle="1" w:styleId="blk">
    <w:name w:val="blk"/>
    <w:basedOn w:val="a0"/>
    <w:rsid w:val="00E4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92D180E36530640BF06AB93C38CE140F8F2D6F62CCBBF13F0DFBAAA4F95EEBB163799A1T2N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7BB8217F1BB8AA9E822A33010F5ED12DDA39D760C738AA884E5BB65794C8D2E10B708C7196A86HEz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F7BB8217F1BB8AA9E822A33010F5ED12DDA39D760C738AA884E5BB65794C8D2E10B708C7196888HEz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6298ECF6149D2505EC190CB27CB8FE02D49199AAA9ACA5085193C57441934078F84A442D8DB52An8vCJ" TargetMode="External"/><Relationship Id="rId10" Type="http://schemas.openxmlformats.org/officeDocument/2006/relationships/hyperlink" Target="consultantplus://offline/ref=B753224EB9A04CFDD58C0A2DACB38963BA6845592C09661D720DD80AD814AB89342737D077EDA9F0FCb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3224EB9A04CFDD58C0A2DACB38963BA674D5B2D0E661D720DD80AD814AB89342737D077EFACFAFC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97F47-7756-4BD5-A507-BBD55E1D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2020-06-01T11:52:00Z</cp:lastPrinted>
  <dcterms:created xsi:type="dcterms:W3CDTF">2020-05-29T08:01:00Z</dcterms:created>
  <dcterms:modified xsi:type="dcterms:W3CDTF">2020-08-17T14:45:00Z</dcterms:modified>
</cp:coreProperties>
</file>