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b/>
          <w:color w:val="052635"/>
          <w:sz w:val="28"/>
          <w:szCs w:val="28"/>
          <w:lang w:val="en-US" w:eastAsia="ru-RU"/>
        </w:rPr>
      </w:pP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b/>
          <w:color w:val="052635"/>
          <w:sz w:val="28"/>
          <w:szCs w:val="28"/>
          <w:lang w:eastAsia="ru-RU"/>
        </w:rPr>
      </w:pP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b/>
          <w:color w:val="052635"/>
          <w:sz w:val="28"/>
          <w:szCs w:val="28"/>
          <w:lang w:eastAsia="ru-RU"/>
        </w:rPr>
      </w:pPr>
      <w:r w:rsidRPr="00C14815">
        <w:rPr>
          <w:rFonts w:ascii="Times New Roman" w:eastAsia="Times New Roman" w:hAnsi="Times New Roman" w:cs="Times New Roman"/>
          <w:b/>
          <w:color w:val="052635"/>
          <w:sz w:val="28"/>
          <w:szCs w:val="28"/>
          <w:lang w:eastAsia="ru-RU"/>
        </w:rPr>
        <w:t>РОССИЙСКАЯ ФЕДЕРАЦИЯ</w:t>
      </w: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b/>
          <w:color w:val="052635"/>
          <w:sz w:val="28"/>
          <w:szCs w:val="28"/>
          <w:lang w:eastAsia="ru-RU"/>
        </w:rPr>
      </w:pPr>
      <w:r w:rsidRPr="00C14815">
        <w:rPr>
          <w:rFonts w:ascii="Times New Roman" w:eastAsia="Times New Roman" w:hAnsi="Times New Roman" w:cs="Times New Roman"/>
          <w:b/>
          <w:color w:val="052635"/>
          <w:sz w:val="28"/>
          <w:szCs w:val="28"/>
          <w:lang w:eastAsia="ru-RU"/>
        </w:rPr>
        <w:t>Тульская область</w:t>
      </w: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b/>
          <w:color w:val="052635"/>
          <w:sz w:val="28"/>
          <w:szCs w:val="28"/>
          <w:lang w:eastAsia="ru-RU"/>
        </w:rPr>
      </w:pPr>
      <w:r w:rsidRPr="00C14815">
        <w:rPr>
          <w:rFonts w:ascii="Times New Roman" w:eastAsia="Times New Roman" w:hAnsi="Times New Roman" w:cs="Times New Roman"/>
          <w:b/>
          <w:bCs/>
          <w:color w:val="052635"/>
          <w:sz w:val="28"/>
          <w:szCs w:val="28"/>
          <w:lang w:eastAsia="ru-RU"/>
        </w:rPr>
        <w:t xml:space="preserve">Контрольно-ревизионная комиссия </w:t>
      </w: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C14815">
        <w:rPr>
          <w:rFonts w:ascii="Times New Roman" w:eastAsia="Times New Roman" w:hAnsi="Times New Roman" w:cs="Times New Roman"/>
          <w:b/>
          <w:bCs/>
          <w:color w:val="052635"/>
          <w:sz w:val="28"/>
          <w:szCs w:val="28"/>
          <w:lang w:eastAsia="ru-RU"/>
        </w:rPr>
        <w:t xml:space="preserve">МУНИЦИПАЛЬНОГО ОБРАЗОВАНИЯ </w:t>
      </w: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sidRPr="00C14815">
        <w:rPr>
          <w:rFonts w:ascii="Times New Roman" w:eastAsia="Times New Roman" w:hAnsi="Times New Roman" w:cs="Times New Roman"/>
          <w:b/>
          <w:bCs/>
          <w:color w:val="052635"/>
          <w:sz w:val="28"/>
          <w:szCs w:val="28"/>
          <w:lang w:eastAsia="ru-RU"/>
        </w:rPr>
        <w:t>КУРКИНСКИЙ  РАЙОН</w:t>
      </w:r>
    </w:p>
    <w:p w:rsidR="00C14815" w:rsidRPr="00C14815" w:rsidRDefault="00C14815" w:rsidP="00C1481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C14815" w:rsidRPr="00C14815" w:rsidRDefault="00687669" w:rsidP="00C14815">
      <w:pPr>
        <w:spacing w:before="100" w:beforeAutospacing="1" w:after="100" w:afterAutospacing="1" w:line="240" w:lineRule="auto"/>
        <w:ind w:firstLine="708"/>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lang w:eastAsia="ru-RU"/>
        </w:rPr>
        <w:t>от 24.07.2020</w:t>
      </w:r>
      <w:r w:rsidR="00C14815" w:rsidRPr="00C14815">
        <w:rPr>
          <w:rFonts w:ascii="Times New Roman" w:eastAsia="Times New Roman" w:hAnsi="Times New Roman" w:cs="Times New Roman"/>
          <w:color w:val="000000" w:themeColor="text1"/>
          <w:sz w:val="28"/>
          <w:szCs w:val="28"/>
          <w:lang w:eastAsia="ru-RU"/>
        </w:rPr>
        <w:t xml:space="preserve">  года.</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АКТ</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C14815">
        <w:rPr>
          <w:rFonts w:ascii="Times New Roman" w:hAnsi="Times New Roman" w:cs="Times New Roman"/>
          <w:b/>
          <w:sz w:val="28"/>
          <w:szCs w:val="28"/>
        </w:rPr>
        <w:t>Проверка финансово-хозяйственной деятельности и аудит в сфере закупок в МКУ «Служба хозяйственного обслуживания» за период с июля 2017г по апрель 2020г</w:t>
      </w:r>
      <w:r w:rsidRPr="00C14815">
        <w:rPr>
          <w:rFonts w:ascii="Times New Roman" w:hAnsi="Times New Roman" w:cs="Times New Roman"/>
          <w:b/>
          <w:bCs/>
          <w:sz w:val="28"/>
          <w:szCs w:val="28"/>
        </w:rPr>
        <w:t>.</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autoSpaceDE w:val="0"/>
        <w:autoSpaceDN w:val="0"/>
        <w:adjustRightInd w:val="0"/>
        <w:spacing w:before="108" w:after="108" w:line="240" w:lineRule="auto"/>
        <w:ind w:firstLine="708"/>
        <w:jc w:val="both"/>
        <w:outlineLvl w:val="0"/>
        <w:rPr>
          <w:rFonts w:ascii="Times New Roman" w:hAnsi="Times New Roman" w:cs="Times New Roman"/>
          <w:bCs/>
          <w:sz w:val="28"/>
          <w:szCs w:val="28"/>
        </w:rPr>
      </w:pPr>
      <w:r w:rsidRPr="00C14815">
        <w:rPr>
          <w:rFonts w:ascii="Times New Roman" w:eastAsia="Times New Roman" w:hAnsi="Times New Roman" w:cs="Times New Roman"/>
          <w:color w:val="000000" w:themeColor="text1"/>
          <w:sz w:val="28"/>
          <w:szCs w:val="28"/>
          <w:lang w:eastAsia="ru-RU"/>
        </w:rPr>
        <w:t xml:space="preserve">На основании плана работы Контрольно-ревизионной комиссии муниципального образования Куркинский район на 2020 год, проводится плановая </w:t>
      </w:r>
      <w:r w:rsidRPr="00C14815">
        <w:rPr>
          <w:rFonts w:ascii="Times New Roman" w:hAnsi="Times New Roman" w:cs="Times New Roman"/>
          <w:sz w:val="28"/>
          <w:szCs w:val="28"/>
        </w:rPr>
        <w:t>проверка финансово-хозяйственной деятельности и аудит в сфере закупок в МКУ «Служба хозяйственного обслуживания» за период с июля 2017г по апрель 2020г</w:t>
      </w:r>
      <w:r w:rsidRPr="00C14815">
        <w:rPr>
          <w:rFonts w:ascii="Times New Roman" w:hAnsi="Times New Roman" w:cs="Times New Roman"/>
          <w:bCs/>
          <w:sz w:val="28"/>
          <w:szCs w:val="28"/>
        </w:rPr>
        <w:t>.</w:t>
      </w:r>
    </w:p>
    <w:p w:rsidR="00C14815" w:rsidRPr="00C14815" w:rsidRDefault="00C14815" w:rsidP="00C14815">
      <w:pPr>
        <w:autoSpaceDE w:val="0"/>
        <w:autoSpaceDN w:val="0"/>
        <w:adjustRightInd w:val="0"/>
        <w:spacing w:before="108" w:after="108" w:line="240" w:lineRule="auto"/>
        <w:jc w:val="both"/>
        <w:outlineLvl w:val="0"/>
        <w:rPr>
          <w:rFonts w:ascii="Times New Roman" w:hAnsi="Times New Roman" w:cs="Times New Roman"/>
          <w:bCs/>
          <w:sz w:val="28"/>
          <w:szCs w:val="28"/>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Проверка начата 29 июня 2020 года.</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Проверка окончена </w:t>
      </w:r>
      <w:hyperlink r:id="rId5" w:tooltip="29 июня" w:history="1">
        <w:r w:rsidRPr="00C14815">
          <w:rPr>
            <w:rFonts w:ascii="Times New Roman" w:hAnsi="Times New Roman" w:cs="Times New Roman"/>
            <w:sz w:val="28"/>
            <w:szCs w:val="28"/>
          </w:rPr>
          <w:t>24</w:t>
        </w:r>
        <w:r w:rsidRPr="00C14815">
          <w:rPr>
            <w:rFonts w:ascii="Times New Roman" w:eastAsia="Times New Roman" w:hAnsi="Times New Roman" w:cs="Times New Roman"/>
            <w:color w:val="000000" w:themeColor="text1"/>
            <w:sz w:val="28"/>
            <w:szCs w:val="28"/>
            <w:lang w:eastAsia="ru-RU"/>
          </w:rPr>
          <w:t xml:space="preserve"> июля</w:t>
        </w:r>
      </w:hyperlink>
      <w:r w:rsidRPr="00C14815">
        <w:rPr>
          <w:rFonts w:ascii="Times New Roman" w:eastAsia="Times New Roman" w:hAnsi="Times New Roman" w:cs="Times New Roman"/>
          <w:color w:val="000000" w:themeColor="text1"/>
          <w:sz w:val="28"/>
          <w:szCs w:val="28"/>
          <w:lang w:eastAsia="ru-RU"/>
        </w:rPr>
        <w:t> 2020 года.</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Муниципальное казенное учреждение «Служба хозяйственного обслуживания»  Куркинского района  (далее по тексту – учреждение)  создано с целью технического, организационного и хозяйственного обслуживания деятельности учреждений культуры и дополнительных видов деятельности по обеспечению функционирования Администрации Муниципального образования Куркинский рай</w:t>
      </w:r>
      <w:r w:rsidRPr="00C14815">
        <w:rPr>
          <w:rFonts w:ascii="Times New Roman" w:eastAsia="Times New Roman" w:hAnsi="Times New Roman" w:cs="Times New Roman"/>
          <w:color w:val="000000" w:themeColor="text1"/>
          <w:sz w:val="28"/>
          <w:szCs w:val="28"/>
          <w:lang w:eastAsia="ru-RU"/>
        </w:rPr>
        <w:tab/>
        <w:t>он, благоустройству здания администрации и прилегающих территорий и  обеспечение ремонтных работ, технического обслуживания служебного автотранспорта.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lastRenderedPageBreak/>
        <w:t xml:space="preserve">Функции и полномочия учредителя Учреждения является Администрация муниципального образования Куркинский район.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Полное наименование - Муниципальное казенное учреждение «Служба хозяйственного обслуживания», краткое наименование – МКУ «СХО».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gramStart"/>
      <w:r w:rsidRPr="00C14815">
        <w:rPr>
          <w:rFonts w:ascii="Times New Roman" w:eastAsia="Times New Roman" w:hAnsi="Times New Roman" w:cs="Times New Roman"/>
          <w:color w:val="000000" w:themeColor="text1"/>
          <w:sz w:val="28"/>
          <w:szCs w:val="28"/>
          <w:lang w:eastAsia="ru-RU"/>
        </w:rPr>
        <w:t>Учреждение зарегистрировано: 301940 Россия, Тульская область, Куркинский район, п. Куркино, ул. Октябрьская, д. 41А.</w:t>
      </w:r>
      <w:proofErr w:type="gramEnd"/>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Место фактического нахождения Учреждения соответствует юридическому адресу, для размещения бухгалтерии МКУ «СХО» предоставлено в безвозмездное пользование встроенное помещение (кабинет №109) по адресу: Тульская область, пос. Куркино, ул. Театральная, дом 22.</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Учреждение является юридическим лицом, имеет самостоятельный баланс, печать и штампы со своим наименованием, самостоятельно использует имущество, закрепленное за ним на праве оперативного управления.</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Учреждение осуществляла свою деятельность в соответствии с Конституцией РФ, Бюджетным кодексом РФ, федеральным Законом «Об образовании», иными федеральными законами и указами Президента РФ, законами и подзаконными актами Тульской области, Типовыми положениями о дошкольном образовательном учреждении, Уставом и локальными </w:t>
      </w:r>
      <w:hyperlink r:id="rId6" w:tooltip="Правовые акты" w:history="1">
        <w:r w:rsidRPr="00C14815">
          <w:rPr>
            <w:rFonts w:ascii="Times New Roman" w:eastAsia="Times New Roman" w:hAnsi="Times New Roman" w:cs="Times New Roman"/>
            <w:color w:val="000000" w:themeColor="text1"/>
            <w:sz w:val="28"/>
            <w:szCs w:val="28"/>
            <w:lang w:eastAsia="ru-RU"/>
          </w:rPr>
          <w:t>правовыми актами</w:t>
        </w:r>
      </w:hyperlink>
      <w:r w:rsidRPr="00C14815">
        <w:rPr>
          <w:rFonts w:ascii="Times New Roman" w:eastAsia="Times New Roman" w:hAnsi="Times New Roman" w:cs="Times New Roman"/>
          <w:color w:val="000000" w:themeColor="text1"/>
          <w:sz w:val="28"/>
          <w:szCs w:val="28"/>
          <w:lang w:eastAsia="ru-RU"/>
        </w:rPr>
        <w:t> учреждения.</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В соответствии с Федеральным законом «О государственной регистрации юридических лиц» учреждение </w:t>
      </w:r>
      <w:proofErr w:type="gramStart"/>
      <w:r w:rsidRPr="00C14815">
        <w:rPr>
          <w:rFonts w:ascii="Times New Roman" w:eastAsia="Times New Roman" w:hAnsi="Times New Roman" w:cs="Times New Roman"/>
          <w:color w:val="000000" w:themeColor="text1"/>
          <w:sz w:val="28"/>
          <w:szCs w:val="28"/>
          <w:lang w:eastAsia="ru-RU"/>
        </w:rPr>
        <w:t>зарегистрирована</w:t>
      </w:r>
      <w:proofErr w:type="gramEnd"/>
      <w:r w:rsidRPr="00C14815">
        <w:rPr>
          <w:rFonts w:ascii="Times New Roman" w:eastAsia="Times New Roman" w:hAnsi="Times New Roman" w:cs="Times New Roman"/>
          <w:color w:val="000000" w:themeColor="text1"/>
          <w:sz w:val="28"/>
          <w:szCs w:val="28"/>
          <w:lang w:eastAsia="ru-RU"/>
        </w:rPr>
        <w:t xml:space="preserve"> в Едином государственном реестре юридических лиц за основным государственным регистрационным номером (1137154020662) и поставлена на учет в Межрайонной инспекции Федеральной налоговой службы № 10 по Тульской области (ИНН/КПП  7129500490/712901001).</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 составе Единого государственного регистра предприятий и организаций учреждение зарегистрировано по общероссийским классификаторам.</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Имущество Учреждения является муниципальной собственностью и закреплено за ним на праве оперативного управления. </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Для осуществления финансово-хозяйственной </w:t>
      </w:r>
      <w:hyperlink r:id="rId7" w:tooltip="Деятельность МОУ" w:history="1">
        <w:r w:rsidRPr="00C14815">
          <w:rPr>
            <w:rFonts w:ascii="Times New Roman" w:eastAsia="Times New Roman" w:hAnsi="Times New Roman" w:cs="Times New Roman"/>
            <w:color w:val="000000" w:themeColor="text1"/>
            <w:sz w:val="28"/>
            <w:szCs w:val="28"/>
            <w:lang w:eastAsia="ru-RU"/>
          </w:rPr>
          <w:t xml:space="preserve">деятельности </w:t>
        </w:r>
      </w:hyperlink>
      <w:r w:rsidRPr="00C14815">
        <w:rPr>
          <w:rFonts w:ascii="Times New Roman" w:hAnsi="Times New Roman" w:cs="Times New Roman"/>
          <w:sz w:val="28"/>
          <w:szCs w:val="28"/>
        </w:rPr>
        <w:t>учреждению</w:t>
      </w:r>
      <w:r w:rsidRPr="00C14815">
        <w:rPr>
          <w:rFonts w:ascii="Times New Roman" w:eastAsia="Times New Roman" w:hAnsi="Times New Roman" w:cs="Times New Roman"/>
          <w:color w:val="000000" w:themeColor="text1"/>
          <w:sz w:val="28"/>
          <w:szCs w:val="28"/>
          <w:lang w:eastAsia="ru-RU"/>
        </w:rPr>
        <w:t xml:space="preserve"> в проверяемом периоде   открыты лицевые счета в финансовом управлении Администрации МО Куркинский район</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лицевой счет   для учета движения бюджетных   средств 02663002030;</w:t>
      </w: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Бухгалтерский учет ведется  самостоятельно.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Предыдущая ревизия финансово-хозяйственной деятельности МКУ «Служба хозяйственного обслуживания»  проводилась контрольно-</w:t>
      </w:r>
      <w:r w:rsidRPr="00C14815">
        <w:rPr>
          <w:rFonts w:ascii="Times New Roman" w:eastAsia="Times New Roman" w:hAnsi="Times New Roman" w:cs="Times New Roman"/>
          <w:color w:val="000000" w:themeColor="text1"/>
          <w:sz w:val="28"/>
          <w:szCs w:val="28"/>
          <w:lang w:eastAsia="ru-RU"/>
        </w:rPr>
        <w:lastRenderedPageBreak/>
        <w:t>ревизионной комиссией муниципального образования Куркинский район  за период с</w:t>
      </w:r>
      <w:r w:rsidRPr="00C14815">
        <w:rPr>
          <w:rFonts w:ascii="Times New Roman" w:hAnsi="Times New Roman" w:cs="Times New Roman"/>
          <w:sz w:val="28"/>
          <w:szCs w:val="28"/>
        </w:rPr>
        <w:t xml:space="preserve"> января 2015 года по июнь 2017 года</w:t>
      </w:r>
      <w:r w:rsidRPr="00C14815">
        <w:rPr>
          <w:rFonts w:ascii="Times New Roman" w:eastAsia="Times New Roman" w:hAnsi="Times New Roman" w:cs="Times New Roman"/>
          <w:color w:val="000000" w:themeColor="text1"/>
          <w:sz w:val="28"/>
          <w:szCs w:val="28"/>
          <w:lang w:eastAsia="ru-RU"/>
        </w:rPr>
        <w:t>.</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Деятельность Учреждения осуществляется на основании  Устава, утвержденного постановлением Администрации муниципального образования Куркинский район от 31.01.2018г №38.</w:t>
      </w:r>
    </w:p>
    <w:p w:rsidR="00C14815" w:rsidRPr="00C14815" w:rsidRDefault="00C14815" w:rsidP="00C14815">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Ответственными за финансово-хозяйственную деятельность Учреждения в проверяемом периоде являлись:</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 с правом первой подписи – директор</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t>Карякин Виктор Алексеевич с 22.01.2018г,</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t>(и.о.) Фурсов Владимир Ильич с 05.06.2018г,</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r>
      <w:proofErr w:type="spellStart"/>
      <w:r w:rsidRPr="00C14815">
        <w:rPr>
          <w:rFonts w:ascii="Times New Roman" w:eastAsia="Times New Roman" w:hAnsi="Times New Roman" w:cs="Times New Roman"/>
          <w:color w:val="000000" w:themeColor="text1"/>
          <w:sz w:val="28"/>
          <w:szCs w:val="28"/>
          <w:lang w:eastAsia="ru-RU"/>
        </w:rPr>
        <w:t>Вельдяксова</w:t>
      </w:r>
      <w:proofErr w:type="spellEnd"/>
      <w:r w:rsidRPr="00C14815">
        <w:rPr>
          <w:rFonts w:ascii="Times New Roman" w:eastAsia="Times New Roman" w:hAnsi="Times New Roman" w:cs="Times New Roman"/>
          <w:color w:val="000000" w:themeColor="text1"/>
          <w:sz w:val="28"/>
          <w:szCs w:val="28"/>
          <w:lang w:eastAsia="ru-RU"/>
        </w:rPr>
        <w:t xml:space="preserve"> Ольга Александровна с 05.02.2019г.</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с правом второй подписи – главный бухгалтер </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r>
      <w:proofErr w:type="spellStart"/>
      <w:r w:rsidRPr="00C14815">
        <w:rPr>
          <w:rFonts w:ascii="Times New Roman" w:eastAsia="Times New Roman" w:hAnsi="Times New Roman" w:cs="Times New Roman"/>
          <w:color w:val="000000" w:themeColor="text1"/>
          <w:sz w:val="28"/>
          <w:szCs w:val="28"/>
          <w:lang w:eastAsia="ru-RU"/>
        </w:rPr>
        <w:t>Жигальцова</w:t>
      </w:r>
      <w:proofErr w:type="spellEnd"/>
      <w:r w:rsidRPr="00C14815">
        <w:rPr>
          <w:rFonts w:ascii="Times New Roman" w:eastAsia="Times New Roman" w:hAnsi="Times New Roman" w:cs="Times New Roman"/>
          <w:color w:val="000000" w:themeColor="text1"/>
          <w:sz w:val="28"/>
          <w:szCs w:val="28"/>
          <w:lang w:eastAsia="ru-RU"/>
        </w:rPr>
        <w:t xml:space="preserve"> Ольга Игоревна с 01.03.2018г,</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r>
      <w:proofErr w:type="spellStart"/>
      <w:r w:rsidRPr="00C14815">
        <w:rPr>
          <w:rFonts w:ascii="Times New Roman" w:eastAsia="Times New Roman" w:hAnsi="Times New Roman" w:cs="Times New Roman"/>
          <w:color w:val="000000" w:themeColor="text1"/>
          <w:sz w:val="28"/>
          <w:szCs w:val="28"/>
          <w:lang w:eastAsia="ru-RU"/>
        </w:rPr>
        <w:t>Абашина</w:t>
      </w:r>
      <w:proofErr w:type="spellEnd"/>
      <w:r w:rsidRPr="00C14815">
        <w:rPr>
          <w:rFonts w:ascii="Times New Roman" w:eastAsia="Times New Roman" w:hAnsi="Times New Roman" w:cs="Times New Roman"/>
          <w:color w:val="000000" w:themeColor="text1"/>
          <w:sz w:val="28"/>
          <w:szCs w:val="28"/>
          <w:lang w:eastAsia="ru-RU"/>
        </w:rPr>
        <w:t xml:space="preserve"> Яна Андреевна с 24.06.2019г.</w:t>
      </w:r>
    </w:p>
    <w:p w:rsidR="00C14815" w:rsidRPr="00C14815" w:rsidRDefault="00C14815" w:rsidP="00C14815">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
    <w:p w:rsidR="00C14815" w:rsidRPr="00C14815" w:rsidRDefault="00C14815" w:rsidP="00C14815">
      <w:pPr>
        <w:pStyle w:val="a3"/>
        <w:numPr>
          <w:ilvl w:val="0"/>
          <w:numId w:val="1"/>
        </w:num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C14815">
        <w:rPr>
          <w:rFonts w:ascii="Times New Roman" w:eastAsia="Times New Roman" w:hAnsi="Times New Roman" w:cs="Times New Roman"/>
          <w:b/>
          <w:color w:val="000000" w:themeColor="text1"/>
          <w:sz w:val="28"/>
          <w:szCs w:val="28"/>
          <w:lang w:eastAsia="ru-RU"/>
        </w:rPr>
        <w:t>Уставная деятельность.</w:t>
      </w: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Учреждение создано с целью технического, организационного и хозяйственного обслуживания деятельности учреждений культуры (пункт 2 Устава).</w:t>
      </w: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r>
      <w:proofErr w:type="gramStart"/>
      <w:r w:rsidRPr="00C14815">
        <w:rPr>
          <w:rFonts w:ascii="Times New Roman" w:eastAsia="Times New Roman" w:hAnsi="Times New Roman" w:cs="Times New Roman"/>
          <w:color w:val="000000" w:themeColor="text1"/>
          <w:sz w:val="28"/>
          <w:szCs w:val="28"/>
          <w:lang w:eastAsia="ru-RU"/>
        </w:rPr>
        <w:t>Дополнительным видом деятельности Учреждения (пункт 2.2.</w:t>
      </w:r>
      <w:proofErr w:type="gramEnd"/>
      <w:r w:rsidRPr="00C14815">
        <w:rPr>
          <w:rFonts w:ascii="Times New Roman" w:eastAsia="Times New Roman" w:hAnsi="Times New Roman" w:cs="Times New Roman"/>
          <w:color w:val="000000" w:themeColor="text1"/>
          <w:sz w:val="28"/>
          <w:szCs w:val="28"/>
          <w:lang w:eastAsia="ru-RU"/>
        </w:rPr>
        <w:t xml:space="preserve"> </w:t>
      </w:r>
      <w:proofErr w:type="gramStart"/>
      <w:r w:rsidRPr="00C14815">
        <w:rPr>
          <w:rFonts w:ascii="Times New Roman" w:eastAsia="Times New Roman" w:hAnsi="Times New Roman" w:cs="Times New Roman"/>
          <w:color w:val="000000" w:themeColor="text1"/>
          <w:sz w:val="28"/>
          <w:szCs w:val="28"/>
          <w:lang w:eastAsia="ru-RU"/>
        </w:rPr>
        <w:t>Устава) является техническое, организационное и хозяйственное обслуживание деятельности Администрации муниципального образования Куркинский район.</w:t>
      </w:r>
      <w:proofErr w:type="gramEnd"/>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ab/>
        <w:t>Подпунктом 2.3 пункта 2 Устава установлено, что Учреждение не вправе осуществлять виды деятельности, не предусмотренные настоящим Уставом.</w:t>
      </w: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2.Наличие смет доходов и расходов, обоснованность расчетов</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сметных назначений.</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Бюджетная смета на 2018 год  представлена  в разрезе предметных статей, утвержденная 12.03.2018года.</w:t>
      </w:r>
    </w:p>
    <w:p w:rsidR="00C14815" w:rsidRPr="00C14815" w:rsidRDefault="00C14815" w:rsidP="00C14815">
      <w:pPr>
        <w:pStyle w:val="s3"/>
        <w:spacing w:after="0"/>
        <w:ind w:firstLine="360"/>
        <w:jc w:val="both"/>
        <w:rPr>
          <w:bCs/>
          <w:color w:val="000000"/>
          <w:sz w:val="28"/>
          <w:szCs w:val="28"/>
        </w:rPr>
      </w:pPr>
      <w:r w:rsidRPr="00C14815">
        <w:rPr>
          <w:color w:val="000000" w:themeColor="text1"/>
          <w:sz w:val="28"/>
          <w:szCs w:val="28"/>
        </w:rPr>
        <w:lastRenderedPageBreak/>
        <w:t xml:space="preserve">Уведомления об уточненных лимитах бюджетных обязательств  в разрезе предметных статей до учреждения доводились. </w:t>
      </w:r>
      <w:proofErr w:type="gramStart"/>
      <w:r w:rsidRPr="00C14815">
        <w:rPr>
          <w:color w:val="000000" w:themeColor="text1"/>
          <w:sz w:val="28"/>
          <w:szCs w:val="28"/>
        </w:rPr>
        <w:t xml:space="preserve">В соответствии с пунктом 11 статьи IV </w:t>
      </w:r>
      <w:r w:rsidRPr="00C14815">
        <w:rPr>
          <w:bCs/>
          <w:color w:val="000000"/>
          <w:sz w:val="28"/>
          <w:szCs w:val="28"/>
        </w:rPr>
        <w:t>Общих требований к порядку составления, утверждения и ведения бюджетной сметы казенного учреждения (утв. </w:t>
      </w:r>
      <w:hyperlink r:id="rId8" w:history="1">
        <w:r w:rsidRPr="00C14815">
          <w:rPr>
            <w:bCs/>
            <w:color w:val="000000" w:themeColor="text1"/>
            <w:sz w:val="28"/>
            <w:szCs w:val="28"/>
          </w:rPr>
          <w:t>приказом</w:t>
        </w:r>
      </w:hyperlink>
      <w:r w:rsidRPr="00C14815">
        <w:rPr>
          <w:bCs/>
          <w:color w:val="000000"/>
          <w:sz w:val="28"/>
          <w:szCs w:val="28"/>
        </w:rPr>
        <w:t> Минфина РФ от 20 ноября 2007 г. N 112н)  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w:t>
      </w:r>
      <w:r w:rsidR="009E3E18">
        <w:rPr>
          <w:bCs/>
          <w:color w:val="000000"/>
          <w:sz w:val="28"/>
          <w:szCs w:val="28"/>
        </w:rPr>
        <w:t xml:space="preserve"> отражающихся со знаком "минус".;</w:t>
      </w:r>
      <w:proofErr w:type="gramEnd"/>
    </w:p>
    <w:p w:rsidR="00C14815" w:rsidRPr="00C14815" w:rsidRDefault="00C14815" w:rsidP="00C14815">
      <w:pPr>
        <w:pStyle w:val="s3"/>
        <w:spacing w:after="0"/>
        <w:ind w:firstLine="360"/>
        <w:jc w:val="both"/>
        <w:rPr>
          <w:bCs/>
          <w:color w:val="000000"/>
          <w:sz w:val="28"/>
          <w:szCs w:val="28"/>
        </w:rPr>
      </w:pPr>
      <w:r w:rsidRPr="00C14815">
        <w:rPr>
          <w:bCs/>
          <w:color w:val="000000"/>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C14815" w:rsidRPr="00C14815" w:rsidRDefault="00C14815" w:rsidP="00C14815">
      <w:pPr>
        <w:pStyle w:val="s3"/>
        <w:spacing w:after="0"/>
        <w:ind w:firstLine="360"/>
        <w:jc w:val="both"/>
        <w:rPr>
          <w:bCs/>
          <w:color w:val="000000"/>
          <w:sz w:val="28"/>
          <w:szCs w:val="28"/>
        </w:rPr>
      </w:pPr>
      <w:r w:rsidRPr="00C14815">
        <w:rPr>
          <w:bCs/>
          <w:color w:val="000000"/>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sidRPr="00C14815">
        <w:rPr>
          <w:bCs/>
          <w:color w:val="000000"/>
          <w:sz w:val="28"/>
          <w:szCs w:val="28"/>
        </w:rPr>
        <w:t>показателей бюджетной росписи главного распорядителя средств бюджета</w:t>
      </w:r>
      <w:proofErr w:type="gramEnd"/>
      <w:r w:rsidRPr="00C14815">
        <w:rPr>
          <w:bCs/>
          <w:color w:val="000000"/>
          <w:sz w:val="28"/>
          <w:szCs w:val="28"/>
        </w:rPr>
        <w:t xml:space="preserve"> и лимитов бюджетных обязательств;</w:t>
      </w:r>
    </w:p>
    <w:p w:rsidR="00C14815" w:rsidRPr="00C14815" w:rsidRDefault="00C14815" w:rsidP="00C14815">
      <w:pPr>
        <w:pStyle w:val="s3"/>
        <w:spacing w:after="0"/>
        <w:ind w:firstLine="360"/>
        <w:jc w:val="both"/>
        <w:rPr>
          <w:bCs/>
          <w:color w:val="000000"/>
          <w:sz w:val="28"/>
          <w:szCs w:val="28"/>
        </w:rPr>
      </w:pPr>
      <w:r w:rsidRPr="00C14815">
        <w:rPr>
          <w:bCs/>
          <w:color w:val="000000"/>
          <w:sz w:val="28"/>
          <w:szCs w:val="28"/>
        </w:rPr>
        <w:t xml:space="preserve">изменяющих распределение сметных назначений, не требующих изменения </w:t>
      </w:r>
      <w:proofErr w:type="gramStart"/>
      <w:r w:rsidRPr="00C14815">
        <w:rPr>
          <w:bCs/>
          <w:color w:val="000000"/>
          <w:sz w:val="28"/>
          <w:szCs w:val="28"/>
        </w:rPr>
        <w:t>показателей бюджетной росписи главного распорядителя средств бюджета</w:t>
      </w:r>
      <w:proofErr w:type="gramEnd"/>
      <w:r w:rsidRPr="00C14815">
        <w:rPr>
          <w:bCs/>
          <w:color w:val="000000"/>
          <w:sz w:val="28"/>
          <w:szCs w:val="28"/>
        </w:rPr>
        <w:t xml:space="preserve"> и утвержденного объема лимитов бюджетных обязательств;</w:t>
      </w:r>
    </w:p>
    <w:p w:rsidR="00C14815" w:rsidRPr="00C14815" w:rsidRDefault="00C14815" w:rsidP="00C14815">
      <w:pPr>
        <w:pStyle w:val="s3"/>
        <w:spacing w:after="0"/>
        <w:ind w:firstLine="360"/>
        <w:jc w:val="both"/>
        <w:rPr>
          <w:bCs/>
          <w:color w:val="000000"/>
          <w:sz w:val="28"/>
          <w:szCs w:val="28"/>
        </w:rPr>
      </w:pPr>
      <w:proofErr w:type="gramStart"/>
      <w:r w:rsidRPr="00C14815">
        <w:rPr>
          <w:bCs/>
          <w:color w:val="000000"/>
          <w:sz w:val="28"/>
          <w:szCs w:val="28"/>
        </w:rPr>
        <w:t>изменяющих распределение сметных назначений по дополнительным кодам аналитических показателей, установленным в соответствии с пунктом 4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C14815" w:rsidRPr="00C14815" w:rsidRDefault="00C14815" w:rsidP="00C14815">
      <w:pPr>
        <w:pStyle w:val="s3"/>
        <w:spacing w:after="0"/>
        <w:ind w:firstLine="360"/>
        <w:jc w:val="both"/>
        <w:rPr>
          <w:bCs/>
          <w:color w:val="000000"/>
          <w:sz w:val="28"/>
          <w:szCs w:val="28"/>
        </w:rPr>
      </w:pPr>
      <w:r w:rsidRPr="00C14815">
        <w:rPr>
          <w:bCs/>
          <w:color w:val="000000"/>
          <w:sz w:val="28"/>
          <w:szCs w:val="28"/>
        </w:rPr>
        <w:t>изменяющих объемы сметных назначений, приводящих к перераспределению их между разделами сметы.</w:t>
      </w:r>
    </w:p>
    <w:p w:rsidR="00C14815" w:rsidRPr="00C14815" w:rsidRDefault="00C14815" w:rsidP="00C14815">
      <w:pPr>
        <w:pStyle w:val="s3"/>
        <w:spacing w:after="0"/>
        <w:ind w:firstLine="360"/>
        <w:jc w:val="both"/>
        <w:rPr>
          <w:bCs/>
          <w:color w:val="000000"/>
          <w:sz w:val="28"/>
          <w:szCs w:val="28"/>
        </w:rPr>
      </w:pPr>
      <w:r w:rsidRPr="00C14815">
        <w:rPr>
          <w:bCs/>
          <w:color w:val="000000"/>
          <w:sz w:val="28"/>
          <w:szCs w:val="28"/>
        </w:rPr>
        <w:t>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пункта 6 настоящих Общих требований.</w:t>
      </w:r>
    </w:p>
    <w:p w:rsidR="00C14815" w:rsidRPr="00C14815" w:rsidRDefault="00C14815" w:rsidP="00C14815">
      <w:pPr>
        <w:pStyle w:val="s3"/>
        <w:spacing w:after="0"/>
        <w:ind w:firstLine="360"/>
        <w:jc w:val="both"/>
        <w:rPr>
          <w:color w:val="000000" w:themeColor="text1"/>
          <w:sz w:val="28"/>
          <w:szCs w:val="28"/>
        </w:rPr>
      </w:pPr>
      <w:r w:rsidRPr="00C14815">
        <w:rPr>
          <w:bCs/>
          <w:color w:val="000000"/>
          <w:sz w:val="28"/>
          <w:szCs w:val="28"/>
        </w:rPr>
        <w:t>В нарушение вышеуказанных требований сметы за  2018 год представлены в первоначально утвержденных объемах, т.е. без внесения в них изменений в течение финансового года по итогам внесения изменений в бюджет МО Куркинский район решением Собрания представителей МО Куркинский район.</w:t>
      </w:r>
      <w:r w:rsidRPr="00C14815">
        <w:rPr>
          <w:color w:val="000000" w:themeColor="text1"/>
          <w:sz w:val="28"/>
          <w:szCs w:val="28"/>
        </w:rPr>
        <w:t xml:space="preserve"> За 2019 год все изменения внесены с учетом законодательных требований.</w:t>
      </w:r>
    </w:p>
    <w:p w:rsidR="00C14815" w:rsidRPr="00C14815" w:rsidRDefault="00C14815" w:rsidP="00C14815">
      <w:pPr>
        <w:ind w:firstLine="360"/>
        <w:jc w:val="both"/>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Финансирование деятельности МКУ «Служба хозяйственного обслуживания»      осуществлялось за счет средств бюджета по главе  853 </w:t>
      </w:r>
      <w:r w:rsidRPr="00C14815">
        <w:rPr>
          <w:rFonts w:ascii="Times New Roman" w:eastAsia="Times New Roman" w:hAnsi="Times New Roman" w:cs="Times New Roman"/>
          <w:color w:val="000000" w:themeColor="text1"/>
          <w:sz w:val="28"/>
          <w:szCs w:val="28"/>
          <w:lang w:eastAsia="ru-RU"/>
        </w:rPr>
        <w:lastRenderedPageBreak/>
        <w:t>«</w:t>
      </w:r>
      <w:r w:rsidRPr="00C14815">
        <w:rPr>
          <w:rFonts w:ascii="Times New Roman" w:eastAsia="Times New Roman" w:hAnsi="Times New Roman" w:cs="Times New Roman"/>
          <w:bCs/>
          <w:color w:val="000000"/>
          <w:sz w:val="28"/>
          <w:szCs w:val="28"/>
          <w:lang w:eastAsia="ru-RU"/>
        </w:rPr>
        <w:t>Отдел культуры администрации муниципального образования Куркинский район»</w:t>
      </w:r>
      <w:r w:rsidRPr="00C14815">
        <w:rPr>
          <w:rFonts w:ascii="Times New Roman" w:eastAsia="Times New Roman" w:hAnsi="Times New Roman" w:cs="Times New Roman"/>
          <w:color w:val="000000" w:themeColor="text1"/>
          <w:sz w:val="28"/>
          <w:szCs w:val="28"/>
          <w:lang w:eastAsia="ru-RU"/>
        </w:rPr>
        <w:t xml:space="preserve">. </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Общая сумма лимитов финансирования на 2018 год составила 9930773,07</w:t>
      </w:r>
      <w:r w:rsidRPr="00C14815">
        <w:rPr>
          <w:rFonts w:ascii="Times New Roman" w:eastAsia="Times New Roman" w:hAnsi="Times New Roman" w:cs="Times New Roman"/>
          <w:b/>
          <w:bCs/>
          <w:color w:val="000000" w:themeColor="text1"/>
          <w:sz w:val="28"/>
          <w:szCs w:val="28"/>
          <w:bdr w:val="none" w:sz="0" w:space="0" w:color="auto" w:frame="1"/>
          <w:lang w:eastAsia="ru-RU"/>
        </w:rPr>
        <w:t>,</w:t>
      </w:r>
      <w:r w:rsidRPr="00C14815">
        <w:rPr>
          <w:rFonts w:ascii="Times New Roman" w:eastAsia="Times New Roman" w:hAnsi="Times New Roman" w:cs="Times New Roman"/>
          <w:b/>
          <w:bCs/>
          <w:color w:val="000000" w:themeColor="text1"/>
          <w:sz w:val="28"/>
          <w:szCs w:val="28"/>
          <w:lang w:eastAsia="ru-RU"/>
        </w:rPr>
        <w:t> </w:t>
      </w:r>
      <w:r w:rsidRPr="00C14815">
        <w:rPr>
          <w:rFonts w:ascii="Times New Roman" w:eastAsia="Times New Roman" w:hAnsi="Times New Roman" w:cs="Times New Roman"/>
          <w:color w:val="000000" w:themeColor="text1"/>
          <w:sz w:val="28"/>
          <w:szCs w:val="28"/>
          <w:lang w:eastAsia="ru-RU"/>
        </w:rPr>
        <w:t>в том числе: финансирование за счет средств бюджета 9930773,07 рублей, кассовые расходы составили 9617551,23 рублей или 96,8% утвержденных лимитов.</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Общая сумма лимитов финансирования на 2019 год составила 13045092,36 рублей</w:t>
      </w:r>
      <w:r w:rsidRPr="00C14815">
        <w:rPr>
          <w:rFonts w:ascii="Times New Roman" w:eastAsia="Times New Roman" w:hAnsi="Times New Roman" w:cs="Times New Roman"/>
          <w:b/>
          <w:bCs/>
          <w:color w:val="000000" w:themeColor="text1"/>
          <w:sz w:val="28"/>
          <w:szCs w:val="28"/>
          <w:bdr w:val="none" w:sz="0" w:space="0" w:color="auto" w:frame="1"/>
          <w:lang w:eastAsia="ru-RU"/>
        </w:rPr>
        <w:t>,</w:t>
      </w:r>
      <w:r w:rsidRPr="00C14815">
        <w:rPr>
          <w:rFonts w:ascii="Times New Roman" w:eastAsia="Times New Roman" w:hAnsi="Times New Roman" w:cs="Times New Roman"/>
          <w:b/>
          <w:bCs/>
          <w:color w:val="000000" w:themeColor="text1"/>
          <w:sz w:val="28"/>
          <w:szCs w:val="28"/>
          <w:lang w:eastAsia="ru-RU"/>
        </w:rPr>
        <w:t> </w:t>
      </w:r>
      <w:r w:rsidRPr="00C14815">
        <w:rPr>
          <w:rFonts w:ascii="Times New Roman" w:eastAsia="Times New Roman" w:hAnsi="Times New Roman" w:cs="Times New Roman"/>
          <w:color w:val="000000" w:themeColor="text1"/>
          <w:sz w:val="28"/>
          <w:szCs w:val="28"/>
          <w:lang w:eastAsia="ru-RU"/>
        </w:rPr>
        <w:t>в том числе: финансирование за счет средств бюджета с учетом восстановления 13020478,08  рублей или 99,8% утвержденных лимитов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Общая сумма лимитов финансирования на 2020 год составила 1387850,00 рублей, от 03.02.2020г внесены изменения на сумму 234,8 тыс. рублей.  Кассовое исполнение за истекший период (январь-апрель) 2020 года составило 5063781,97 рублей  или 35,9% утвержденных лимитов. </w:t>
      </w:r>
    </w:p>
    <w:p w:rsidR="00C14815" w:rsidRPr="00C14815" w:rsidRDefault="00054BA8" w:rsidP="00C14815">
      <w:pPr>
        <w:spacing w:line="240" w:lineRule="auto"/>
        <w:jc w:val="both"/>
        <w:textAlignment w:val="baseline"/>
        <w:rPr>
          <w:rFonts w:ascii="Times New Roman" w:eastAsia="Times New Roman" w:hAnsi="Times New Roman" w:cs="Times New Roman"/>
          <w:color w:val="000000" w:themeColor="text1"/>
          <w:sz w:val="28"/>
          <w:szCs w:val="28"/>
          <w:lang w:eastAsia="ru-RU"/>
        </w:rPr>
      </w:pPr>
      <w:hyperlink r:id="rId9" w:tooltip="Сайт знакомств с возможностью продвижения анкеты" w:history="1"/>
      <w:r w:rsidR="00C14815" w:rsidRPr="00C14815">
        <w:rPr>
          <w:rFonts w:ascii="Times New Roman" w:hAnsi="Times New Roman" w:cs="Times New Roman"/>
          <w:sz w:val="28"/>
          <w:szCs w:val="28"/>
        </w:rPr>
        <w:t xml:space="preserve"> </w:t>
      </w:r>
    </w:p>
    <w:p w:rsidR="00C14815" w:rsidRPr="00C14815" w:rsidRDefault="00C14815" w:rsidP="00C14815">
      <w:pPr>
        <w:pStyle w:val="a3"/>
        <w:numPr>
          <w:ilvl w:val="0"/>
          <w:numId w:val="2"/>
        </w:num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Использование бюджетных средств по целевому назначению.</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Проверкой целевого использования средств, выделенных из бюджета с  2018г. по январь-апрель 2020года МКУ «Служба хозяйственного обслуживания», проведенной сплошным методом, нарушений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Расходование средств бюджета осуществлялось в соответствии с Указаниями о порядке применения бюджетной классификации РФ, утвержденными приказами Минфина России от 01.07.2013г. N65н, Бюджетным кодексом Российской Федерации.</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Использование бюджетных средств по элементам расходов соответствует условиям получения средств.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Проверкой целевого использования средств бюджета, полученных в кассу Учреждения, в части обоснованности отнесения произведенных расходов по предметным статьям, целевым статьям и видам расходов, нарушений не установлено.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hAnsi="Times New Roman" w:cs="Times New Roman"/>
          <w:color w:val="000000"/>
          <w:sz w:val="28"/>
          <w:szCs w:val="28"/>
          <w:shd w:val="clear" w:color="auto" w:fill="FFFFFF"/>
        </w:rPr>
        <w:t>Учетная политика разработана на 2020 год  и  утверждена приказом №181 от 30.12.2019 года.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pStyle w:val="a3"/>
        <w:numPr>
          <w:ilvl w:val="0"/>
          <w:numId w:val="2"/>
        </w:num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Соблюдение</w:t>
      </w:r>
      <w:r w:rsidRPr="00C14815">
        <w:rPr>
          <w:rFonts w:ascii="Times New Roman" w:eastAsia="Times New Roman" w:hAnsi="Times New Roman" w:cs="Times New Roman"/>
          <w:b/>
          <w:bCs/>
          <w:color w:val="000000" w:themeColor="text1"/>
          <w:sz w:val="28"/>
          <w:szCs w:val="28"/>
          <w:lang w:eastAsia="ru-RU"/>
        </w:rPr>
        <w:t> </w:t>
      </w:r>
      <w:hyperlink r:id="rId10" w:tooltip="Законы в России" w:history="1">
        <w:r w:rsidRPr="00C14815">
          <w:rPr>
            <w:rFonts w:ascii="Times New Roman" w:eastAsia="Times New Roman" w:hAnsi="Times New Roman" w:cs="Times New Roman"/>
            <w:b/>
            <w:bCs/>
            <w:color w:val="000000" w:themeColor="text1"/>
            <w:sz w:val="28"/>
            <w:szCs w:val="28"/>
            <w:lang w:eastAsia="ru-RU"/>
          </w:rPr>
          <w:t>законодательства Российской Федерации</w:t>
        </w:r>
      </w:hyperlink>
      <w:r w:rsidRPr="00C14815">
        <w:rPr>
          <w:rFonts w:ascii="Times New Roman" w:eastAsia="Times New Roman" w:hAnsi="Times New Roman" w:cs="Times New Roman"/>
          <w:b/>
          <w:bCs/>
          <w:color w:val="000000" w:themeColor="text1"/>
          <w:sz w:val="28"/>
          <w:szCs w:val="28"/>
          <w:lang w:eastAsia="ru-RU"/>
        </w:rPr>
        <w:t> </w:t>
      </w:r>
      <w:proofErr w:type="gramStart"/>
      <w:r w:rsidRPr="00C14815">
        <w:rPr>
          <w:rFonts w:ascii="Times New Roman" w:eastAsia="Times New Roman" w:hAnsi="Times New Roman" w:cs="Times New Roman"/>
          <w:b/>
          <w:bCs/>
          <w:color w:val="000000" w:themeColor="text1"/>
          <w:sz w:val="28"/>
          <w:szCs w:val="28"/>
          <w:bdr w:val="none" w:sz="0" w:space="0" w:color="auto" w:frame="1"/>
          <w:lang w:eastAsia="ru-RU"/>
        </w:rPr>
        <w:t>при</w:t>
      </w:r>
      <w:proofErr w:type="gramEnd"/>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roofErr w:type="gramStart"/>
      <w:r w:rsidRPr="00C14815">
        <w:rPr>
          <w:rFonts w:ascii="Times New Roman" w:eastAsia="Times New Roman" w:hAnsi="Times New Roman" w:cs="Times New Roman"/>
          <w:b/>
          <w:bCs/>
          <w:color w:val="000000" w:themeColor="text1"/>
          <w:sz w:val="28"/>
          <w:szCs w:val="28"/>
          <w:bdr w:val="none" w:sz="0" w:space="0" w:color="auto" w:frame="1"/>
          <w:lang w:eastAsia="ru-RU"/>
        </w:rPr>
        <w:t>размещении</w:t>
      </w:r>
      <w:proofErr w:type="gramEnd"/>
      <w:r w:rsidRPr="00C14815">
        <w:rPr>
          <w:rFonts w:ascii="Times New Roman" w:eastAsia="Times New Roman" w:hAnsi="Times New Roman" w:cs="Times New Roman"/>
          <w:b/>
          <w:bCs/>
          <w:color w:val="000000" w:themeColor="text1"/>
          <w:sz w:val="28"/>
          <w:szCs w:val="28"/>
          <w:bdr w:val="none" w:sz="0" w:space="0" w:color="auto" w:frame="1"/>
          <w:lang w:eastAsia="ru-RU"/>
        </w:rPr>
        <w:t xml:space="preserve"> заказов на поставки товаров,</w:t>
      </w:r>
      <w:r w:rsidRPr="00C14815">
        <w:rPr>
          <w:rFonts w:ascii="Times New Roman" w:eastAsia="Times New Roman" w:hAnsi="Times New Roman" w:cs="Times New Roman"/>
          <w:b/>
          <w:bCs/>
          <w:color w:val="000000" w:themeColor="text1"/>
          <w:sz w:val="28"/>
          <w:szCs w:val="28"/>
          <w:lang w:eastAsia="ru-RU"/>
        </w:rPr>
        <w:t> </w:t>
      </w:r>
      <w:hyperlink r:id="rId11" w:tooltip="Выполнение работ" w:history="1">
        <w:r w:rsidRPr="00C14815">
          <w:rPr>
            <w:rFonts w:ascii="Times New Roman" w:eastAsia="Times New Roman" w:hAnsi="Times New Roman" w:cs="Times New Roman"/>
            <w:b/>
            <w:bCs/>
            <w:color w:val="000000" w:themeColor="text1"/>
            <w:sz w:val="28"/>
            <w:szCs w:val="28"/>
            <w:lang w:eastAsia="ru-RU"/>
          </w:rPr>
          <w:t>выполнение работ</w:t>
        </w:r>
      </w:hyperlink>
      <w:r w:rsidRPr="00C14815">
        <w:rPr>
          <w:rFonts w:ascii="Times New Roman" w:eastAsia="Times New Roman" w:hAnsi="Times New Roman" w:cs="Times New Roman"/>
          <w:b/>
          <w:bCs/>
          <w:color w:val="000000" w:themeColor="text1"/>
          <w:sz w:val="28"/>
          <w:szCs w:val="28"/>
          <w:bdr w:val="none" w:sz="0" w:space="0" w:color="auto" w:frame="1"/>
          <w:lang w:eastAsia="ru-RU"/>
        </w:rPr>
        <w:t>, оказание услуг для муниципальных нужд. Аудит в сфере закупок.</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roofErr w:type="gramStart"/>
      <w:r w:rsidRPr="00C14815">
        <w:rPr>
          <w:rFonts w:ascii="Times New Roman" w:eastAsia="Times New Roman" w:hAnsi="Times New Roman" w:cs="Times New Roman"/>
          <w:color w:val="000000" w:themeColor="text1"/>
          <w:sz w:val="28"/>
          <w:szCs w:val="28"/>
          <w:lang w:eastAsia="ru-RU"/>
        </w:rPr>
        <w:t xml:space="preserve">Проверка соблюдения законодательства Российской Федерации при размещении заказов на поставку товаров, выполнение работ, оказание услуг </w:t>
      </w:r>
      <w:r w:rsidRPr="00C14815">
        <w:rPr>
          <w:rFonts w:ascii="Times New Roman" w:eastAsia="Times New Roman" w:hAnsi="Times New Roman" w:cs="Times New Roman"/>
          <w:color w:val="000000" w:themeColor="text1"/>
          <w:sz w:val="28"/>
          <w:szCs w:val="28"/>
          <w:lang w:eastAsia="ru-RU"/>
        </w:rPr>
        <w:lastRenderedPageBreak/>
        <w:t xml:space="preserve">для государственных нужд проведена финансовым управлением Администрации муниципального образования Куркинский район по 2019 год в соответствии с Бюджетным кодексом Российской Федерации, Федеральным законом от 05.04.2013г. № 44-ФЗ « О контрактной системе в сфере закупок товаров, работ, услуг для обеспечения государственных, муниципальных нужд » (далее Федеральный Закон №44-ФЗ). </w:t>
      </w:r>
      <w:proofErr w:type="gramEnd"/>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В соответствии с  Законом учреждение </w:t>
      </w:r>
      <w:proofErr w:type="gramStart"/>
      <w:r w:rsidRPr="00C14815">
        <w:rPr>
          <w:rFonts w:ascii="Times New Roman" w:eastAsia="Times New Roman" w:hAnsi="Times New Roman" w:cs="Times New Roman"/>
          <w:color w:val="000000" w:themeColor="text1"/>
          <w:sz w:val="28"/>
          <w:szCs w:val="28"/>
          <w:lang w:eastAsia="ru-RU"/>
        </w:rPr>
        <w:t>уполномочена</w:t>
      </w:r>
      <w:proofErr w:type="gramEnd"/>
      <w:r w:rsidRPr="00C14815">
        <w:rPr>
          <w:rFonts w:ascii="Times New Roman" w:eastAsia="Times New Roman" w:hAnsi="Times New Roman" w:cs="Times New Roman"/>
          <w:color w:val="000000" w:themeColor="text1"/>
          <w:sz w:val="28"/>
          <w:szCs w:val="28"/>
          <w:lang w:eastAsia="ru-RU"/>
        </w:rPr>
        <w:t xml:space="preserve"> осуществлять функции муниципального заказчика при размещении заказов на поставки товаров, выполнение работ, оказание услуг для муниципальных нужд.</w:t>
      </w:r>
    </w:p>
    <w:p w:rsidR="00C14815" w:rsidRPr="00C14815" w:rsidRDefault="00C14815" w:rsidP="00C14815">
      <w:pPr>
        <w:spacing w:line="240" w:lineRule="auto"/>
        <w:ind w:firstLine="708"/>
        <w:jc w:val="both"/>
        <w:rPr>
          <w:rFonts w:ascii="Times New Roman" w:hAnsi="Times New Roman" w:cs="Times New Roman"/>
          <w:sz w:val="28"/>
          <w:szCs w:val="28"/>
        </w:rPr>
      </w:pPr>
      <w:proofErr w:type="gramStart"/>
      <w:r w:rsidRPr="00C14815">
        <w:rPr>
          <w:rFonts w:ascii="Times New Roman" w:hAnsi="Times New Roman" w:cs="Times New Roman"/>
          <w:sz w:val="28"/>
          <w:szCs w:val="28"/>
        </w:rPr>
        <w:t>В соответствии с пунктом 5 ст. 161 Бюджетного кодекса Российской Федерации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roofErr w:type="gramEnd"/>
    </w:p>
    <w:p w:rsidR="00C14815" w:rsidRPr="00C14815" w:rsidRDefault="00C14815" w:rsidP="00C14815">
      <w:pPr>
        <w:spacing w:line="240" w:lineRule="auto"/>
        <w:ind w:firstLine="708"/>
        <w:jc w:val="both"/>
        <w:rPr>
          <w:rFonts w:ascii="Times New Roman" w:hAnsi="Times New Roman" w:cs="Times New Roman"/>
          <w:sz w:val="28"/>
          <w:szCs w:val="28"/>
        </w:rPr>
      </w:pPr>
      <w:r w:rsidRPr="00C14815">
        <w:rPr>
          <w:rFonts w:ascii="Times New Roman" w:hAnsi="Times New Roman" w:cs="Times New Roman"/>
          <w:sz w:val="28"/>
          <w:szCs w:val="28"/>
        </w:rPr>
        <w:t xml:space="preserve"> </w:t>
      </w:r>
      <w:proofErr w:type="gramStart"/>
      <w:r w:rsidRPr="00C14815">
        <w:rPr>
          <w:rFonts w:ascii="Times New Roman" w:hAnsi="Times New Roman" w:cs="Times New Roman"/>
          <w:sz w:val="28"/>
          <w:szCs w:val="28"/>
        </w:rPr>
        <w:t xml:space="preserve">Согласно статье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w:t>
      </w:r>
      <w:proofErr w:type="gramEnd"/>
    </w:p>
    <w:p w:rsidR="00C14815" w:rsidRPr="00C14815" w:rsidRDefault="00C14815" w:rsidP="00C14815">
      <w:pPr>
        <w:spacing w:line="240" w:lineRule="auto"/>
        <w:ind w:firstLine="709"/>
        <w:jc w:val="both"/>
        <w:outlineLvl w:val="0"/>
        <w:rPr>
          <w:rFonts w:ascii="Times New Roman" w:hAnsi="Times New Roman" w:cs="Times New Roman"/>
          <w:sz w:val="28"/>
          <w:szCs w:val="28"/>
        </w:rPr>
      </w:pPr>
      <w:r w:rsidRPr="00C14815">
        <w:rPr>
          <w:rFonts w:ascii="Times New Roman" w:eastAsia="Times New Roman" w:hAnsi="Times New Roman" w:cs="Times New Roman"/>
          <w:color w:val="000000" w:themeColor="text1"/>
          <w:sz w:val="28"/>
          <w:szCs w:val="28"/>
          <w:lang w:eastAsia="ru-RU"/>
        </w:rPr>
        <w:t xml:space="preserve">Финансовым управлением Администрации муниципального образования Куркинский район проведена плановая проверка соблюдения требований Федерального закона №44-ФЗ и иных нормативных правовых актов Российской Федерации в сфере закупок за период с 01.02.2018 года по 31.12.2019 года. </w:t>
      </w:r>
      <w:proofErr w:type="gramStart"/>
      <w:r w:rsidRPr="00C14815">
        <w:rPr>
          <w:rFonts w:ascii="Times New Roman" w:eastAsia="Times New Roman" w:hAnsi="Times New Roman" w:cs="Times New Roman"/>
          <w:color w:val="000000" w:themeColor="text1"/>
          <w:sz w:val="28"/>
          <w:szCs w:val="28"/>
          <w:lang w:eastAsia="ru-RU"/>
        </w:rPr>
        <w:t>Решением  Собрания представителей от 17.06.2020 года №11-7</w:t>
      </w:r>
      <w:r w:rsidRPr="00C14815">
        <w:rPr>
          <w:rFonts w:ascii="Times New Roman" w:hAnsi="Times New Roman" w:cs="Times New Roman"/>
          <w:sz w:val="28"/>
          <w:szCs w:val="28"/>
        </w:rPr>
        <w:t xml:space="preserve"> «Об определении органа местного самоуправления муниципального образования Куркинский район, уполномоченного на осуществление </w:t>
      </w:r>
      <w:r w:rsidRPr="00C14815">
        <w:rPr>
          <w:rFonts w:ascii="Times New Roman" w:hAnsi="Times New Roman" w:cs="Times New Roman"/>
          <w:color w:val="000000"/>
          <w:sz w:val="28"/>
          <w:szCs w:val="28"/>
          <w:shd w:val="clear" w:color="auto" w:fill="FFFFFF"/>
        </w:rPr>
        <w:t xml:space="preserve">контроля в сфере закупок товаров, работ, услуг </w:t>
      </w:r>
      <w:r w:rsidRPr="00C14815">
        <w:rPr>
          <w:rFonts w:ascii="Times New Roman" w:hAnsi="Times New Roman" w:cs="Times New Roman"/>
          <w:sz w:val="28"/>
          <w:szCs w:val="28"/>
        </w:rPr>
        <w:t xml:space="preserve">для обеспечения муниципальных нужд.» определен орган, уполномоченный на осуществление </w:t>
      </w:r>
      <w:r w:rsidRPr="00C14815">
        <w:rPr>
          <w:rFonts w:ascii="Times New Roman" w:hAnsi="Times New Roman" w:cs="Times New Roman"/>
          <w:color w:val="000000"/>
          <w:sz w:val="28"/>
          <w:szCs w:val="28"/>
          <w:shd w:val="clear" w:color="auto" w:fill="FFFFFF"/>
        </w:rPr>
        <w:t>контроля в сфере закупок товаров, работ и услуг для обеспечения муниципальных нужд орган внутреннего муниципального финансового контроля ф</w:t>
      </w:r>
      <w:r w:rsidRPr="00C14815">
        <w:rPr>
          <w:rFonts w:ascii="Times New Roman" w:hAnsi="Times New Roman" w:cs="Times New Roman"/>
          <w:sz w:val="28"/>
          <w:szCs w:val="28"/>
        </w:rPr>
        <w:t>инансовое управление Администрации муниципального образования Куркинский район.</w:t>
      </w:r>
      <w:proofErr w:type="gramEnd"/>
    </w:p>
    <w:p w:rsidR="00C14815" w:rsidRPr="00C14815" w:rsidRDefault="00C14815" w:rsidP="00C14815">
      <w:pPr>
        <w:spacing w:line="240" w:lineRule="auto"/>
        <w:ind w:firstLine="709"/>
        <w:jc w:val="both"/>
        <w:outlineLvl w:val="0"/>
        <w:rPr>
          <w:rFonts w:ascii="Times New Roman" w:hAnsi="Times New Roman" w:cs="Times New Roman"/>
          <w:sz w:val="28"/>
          <w:szCs w:val="28"/>
        </w:rPr>
      </w:pPr>
      <w:r w:rsidRPr="00C14815">
        <w:rPr>
          <w:rFonts w:ascii="Times New Roman" w:hAnsi="Times New Roman" w:cs="Times New Roman"/>
          <w:sz w:val="28"/>
          <w:szCs w:val="28"/>
        </w:rPr>
        <w:t xml:space="preserve">В соответствии со ст. 98 Федерального Закона №44-ФЗ контрольно-ревизионной комиссией МО Куркинский район осуществляется аудит в сфере закупок. </w:t>
      </w:r>
    </w:p>
    <w:tbl>
      <w:tblPr>
        <w:tblStyle w:val="a4"/>
        <w:tblW w:w="10173" w:type="dxa"/>
        <w:tblLayout w:type="fixed"/>
        <w:tblLook w:val="04A0"/>
      </w:tblPr>
      <w:tblGrid>
        <w:gridCol w:w="1635"/>
        <w:gridCol w:w="878"/>
        <w:gridCol w:w="1314"/>
        <w:gridCol w:w="907"/>
        <w:gridCol w:w="1044"/>
        <w:gridCol w:w="1134"/>
        <w:gridCol w:w="1418"/>
        <w:gridCol w:w="850"/>
        <w:gridCol w:w="993"/>
      </w:tblGrid>
      <w:tr w:rsidR="00C14815" w:rsidRPr="00C14815" w:rsidTr="00612B6A">
        <w:trPr>
          <w:trHeight w:val="481"/>
        </w:trPr>
        <w:tc>
          <w:tcPr>
            <w:tcW w:w="1635" w:type="dxa"/>
            <w:vMerge w:val="restart"/>
          </w:tcPr>
          <w:p w:rsidR="00C14815" w:rsidRPr="00C14815" w:rsidRDefault="00C14815" w:rsidP="00612B6A">
            <w:pPr>
              <w:jc w:val="both"/>
              <w:outlineLvl w:val="0"/>
              <w:rPr>
                <w:rFonts w:ascii="Times New Roman" w:hAnsi="Times New Roman" w:cs="Times New Roman"/>
                <w:sz w:val="28"/>
                <w:szCs w:val="28"/>
              </w:rPr>
            </w:pPr>
          </w:p>
        </w:tc>
        <w:tc>
          <w:tcPr>
            <w:tcW w:w="2192" w:type="dxa"/>
            <w:gridSpan w:val="2"/>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2018 год</w:t>
            </w:r>
          </w:p>
          <w:p w:rsidR="00C14815" w:rsidRPr="00C14815" w:rsidRDefault="00C14815" w:rsidP="00612B6A">
            <w:pPr>
              <w:jc w:val="center"/>
              <w:outlineLvl w:val="0"/>
              <w:rPr>
                <w:rFonts w:ascii="Times New Roman" w:hAnsi="Times New Roman" w:cs="Times New Roman"/>
                <w:sz w:val="28"/>
                <w:szCs w:val="28"/>
              </w:rPr>
            </w:pPr>
          </w:p>
        </w:tc>
        <w:tc>
          <w:tcPr>
            <w:tcW w:w="907" w:type="dxa"/>
            <w:vMerge w:val="restart"/>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Результат</w:t>
            </w:r>
          </w:p>
        </w:tc>
        <w:tc>
          <w:tcPr>
            <w:tcW w:w="1044" w:type="dxa"/>
            <w:vMerge w:val="restart"/>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Структура закупок</w:t>
            </w:r>
          </w:p>
        </w:tc>
        <w:tc>
          <w:tcPr>
            <w:tcW w:w="2552" w:type="dxa"/>
            <w:gridSpan w:val="2"/>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2019 год</w:t>
            </w:r>
          </w:p>
        </w:tc>
        <w:tc>
          <w:tcPr>
            <w:tcW w:w="850" w:type="dxa"/>
            <w:vMerge w:val="restart"/>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Результат</w:t>
            </w:r>
          </w:p>
        </w:tc>
        <w:tc>
          <w:tcPr>
            <w:tcW w:w="993" w:type="dxa"/>
            <w:vMerge w:val="restart"/>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Структура закупок</w:t>
            </w:r>
          </w:p>
        </w:tc>
      </w:tr>
      <w:tr w:rsidR="00C14815" w:rsidRPr="00C14815" w:rsidTr="00612B6A">
        <w:trPr>
          <w:trHeight w:val="481"/>
        </w:trPr>
        <w:tc>
          <w:tcPr>
            <w:tcW w:w="1635" w:type="dxa"/>
            <w:vMerge/>
          </w:tcPr>
          <w:p w:rsidR="00C14815" w:rsidRPr="00C14815" w:rsidRDefault="00C14815" w:rsidP="00612B6A">
            <w:pPr>
              <w:jc w:val="both"/>
              <w:outlineLvl w:val="0"/>
              <w:rPr>
                <w:rFonts w:ascii="Times New Roman" w:hAnsi="Times New Roman" w:cs="Times New Roman"/>
                <w:sz w:val="28"/>
                <w:szCs w:val="28"/>
              </w:rPr>
            </w:pPr>
          </w:p>
        </w:tc>
        <w:tc>
          <w:tcPr>
            <w:tcW w:w="87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НМЦК</w:t>
            </w:r>
          </w:p>
        </w:tc>
        <w:tc>
          <w:tcPr>
            <w:tcW w:w="131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По итогам конкурентного способа закупки</w:t>
            </w:r>
          </w:p>
        </w:tc>
        <w:tc>
          <w:tcPr>
            <w:tcW w:w="907" w:type="dxa"/>
            <w:vMerge/>
          </w:tcPr>
          <w:p w:rsidR="00C14815" w:rsidRPr="00C14815" w:rsidRDefault="00C14815" w:rsidP="00612B6A">
            <w:pPr>
              <w:jc w:val="center"/>
              <w:outlineLvl w:val="0"/>
              <w:rPr>
                <w:rFonts w:ascii="Times New Roman" w:hAnsi="Times New Roman" w:cs="Times New Roman"/>
                <w:sz w:val="28"/>
                <w:szCs w:val="28"/>
              </w:rPr>
            </w:pPr>
          </w:p>
        </w:tc>
        <w:tc>
          <w:tcPr>
            <w:tcW w:w="1044" w:type="dxa"/>
            <w:vMerge/>
          </w:tcPr>
          <w:p w:rsidR="00C14815" w:rsidRPr="00C14815" w:rsidRDefault="00C14815" w:rsidP="00612B6A">
            <w:pPr>
              <w:jc w:val="center"/>
              <w:outlineLvl w:val="0"/>
              <w:rPr>
                <w:rFonts w:ascii="Times New Roman" w:hAnsi="Times New Roman" w:cs="Times New Roman"/>
                <w:sz w:val="28"/>
                <w:szCs w:val="28"/>
              </w:rPr>
            </w:pPr>
          </w:p>
        </w:tc>
        <w:tc>
          <w:tcPr>
            <w:tcW w:w="113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НМЦК</w:t>
            </w:r>
          </w:p>
        </w:tc>
        <w:tc>
          <w:tcPr>
            <w:tcW w:w="141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По итогам конкурентного способа закупки</w:t>
            </w:r>
          </w:p>
        </w:tc>
        <w:tc>
          <w:tcPr>
            <w:tcW w:w="850" w:type="dxa"/>
            <w:vMerge/>
          </w:tcPr>
          <w:p w:rsidR="00C14815" w:rsidRPr="00C14815" w:rsidRDefault="00C14815" w:rsidP="00612B6A">
            <w:pPr>
              <w:jc w:val="center"/>
              <w:outlineLvl w:val="0"/>
              <w:rPr>
                <w:rFonts w:ascii="Times New Roman" w:hAnsi="Times New Roman" w:cs="Times New Roman"/>
                <w:sz w:val="28"/>
                <w:szCs w:val="28"/>
              </w:rPr>
            </w:pPr>
          </w:p>
        </w:tc>
        <w:tc>
          <w:tcPr>
            <w:tcW w:w="993" w:type="dxa"/>
            <w:vMerge/>
          </w:tcPr>
          <w:p w:rsidR="00C14815" w:rsidRPr="00C14815" w:rsidRDefault="00C14815" w:rsidP="00612B6A">
            <w:pPr>
              <w:jc w:val="center"/>
              <w:outlineLvl w:val="0"/>
              <w:rPr>
                <w:rFonts w:ascii="Times New Roman" w:hAnsi="Times New Roman" w:cs="Times New Roman"/>
                <w:sz w:val="28"/>
                <w:szCs w:val="28"/>
              </w:rPr>
            </w:pPr>
          </w:p>
        </w:tc>
      </w:tr>
      <w:tr w:rsidR="00C14815" w:rsidRPr="00C14815" w:rsidTr="00612B6A">
        <w:trPr>
          <w:trHeight w:val="1609"/>
        </w:trPr>
        <w:tc>
          <w:tcPr>
            <w:tcW w:w="1635" w:type="dxa"/>
          </w:tcPr>
          <w:p w:rsidR="00C14815" w:rsidRPr="00C14815" w:rsidRDefault="00C14815" w:rsidP="00612B6A">
            <w:pPr>
              <w:jc w:val="both"/>
              <w:outlineLvl w:val="0"/>
              <w:rPr>
                <w:rFonts w:ascii="Times New Roman" w:hAnsi="Times New Roman" w:cs="Times New Roman"/>
                <w:sz w:val="28"/>
                <w:szCs w:val="28"/>
              </w:rPr>
            </w:pPr>
            <w:r w:rsidRPr="00C14815">
              <w:rPr>
                <w:rFonts w:ascii="Times New Roman" w:hAnsi="Times New Roman" w:cs="Times New Roman"/>
                <w:sz w:val="28"/>
                <w:szCs w:val="28"/>
              </w:rPr>
              <w:t>Всего проведено закупок (тыс. руб.), в т.ч.</w:t>
            </w:r>
          </w:p>
        </w:tc>
        <w:tc>
          <w:tcPr>
            <w:tcW w:w="87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3294,7</w:t>
            </w:r>
          </w:p>
        </w:tc>
        <w:tc>
          <w:tcPr>
            <w:tcW w:w="131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3267,5</w:t>
            </w:r>
          </w:p>
        </w:tc>
        <w:tc>
          <w:tcPr>
            <w:tcW w:w="907"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-27,2</w:t>
            </w:r>
          </w:p>
        </w:tc>
        <w:tc>
          <w:tcPr>
            <w:tcW w:w="104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100,0</w:t>
            </w:r>
          </w:p>
        </w:tc>
        <w:tc>
          <w:tcPr>
            <w:tcW w:w="113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4784,0</w:t>
            </w:r>
          </w:p>
        </w:tc>
        <w:tc>
          <w:tcPr>
            <w:tcW w:w="141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4725,0</w:t>
            </w:r>
          </w:p>
        </w:tc>
        <w:tc>
          <w:tcPr>
            <w:tcW w:w="850"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-59,0</w:t>
            </w:r>
          </w:p>
        </w:tc>
        <w:tc>
          <w:tcPr>
            <w:tcW w:w="993"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100,0</w:t>
            </w:r>
          </w:p>
        </w:tc>
      </w:tr>
      <w:tr w:rsidR="00C14815" w:rsidRPr="00C14815" w:rsidTr="00612B6A">
        <w:trPr>
          <w:trHeight w:val="632"/>
        </w:trPr>
        <w:tc>
          <w:tcPr>
            <w:tcW w:w="1635" w:type="dxa"/>
          </w:tcPr>
          <w:p w:rsidR="00C14815" w:rsidRPr="00C14815" w:rsidRDefault="00C14815" w:rsidP="00612B6A">
            <w:pPr>
              <w:jc w:val="both"/>
              <w:outlineLvl w:val="0"/>
              <w:rPr>
                <w:rFonts w:ascii="Times New Roman" w:hAnsi="Times New Roman" w:cs="Times New Roman"/>
                <w:sz w:val="28"/>
                <w:szCs w:val="28"/>
              </w:rPr>
            </w:pPr>
            <w:r w:rsidRPr="00C14815">
              <w:rPr>
                <w:rFonts w:ascii="Times New Roman" w:hAnsi="Times New Roman" w:cs="Times New Roman"/>
                <w:sz w:val="28"/>
                <w:szCs w:val="28"/>
              </w:rPr>
              <w:t>Эл</w:t>
            </w:r>
            <w:proofErr w:type="gramStart"/>
            <w:r w:rsidRPr="00C14815">
              <w:rPr>
                <w:rFonts w:ascii="Times New Roman" w:hAnsi="Times New Roman" w:cs="Times New Roman"/>
                <w:sz w:val="28"/>
                <w:szCs w:val="28"/>
              </w:rPr>
              <w:t>.</w:t>
            </w:r>
            <w:proofErr w:type="gramEnd"/>
            <w:r w:rsidRPr="00C14815">
              <w:rPr>
                <w:rFonts w:ascii="Times New Roman" w:hAnsi="Times New Roman" w:cs="Times New Roman"/>
                <w:sz w:val="28"/>
                <w:szCs w:val="28"/>
              </w:rPr>
              <w:t xml:space="preserve"> </w:t>
            </w:r>
            <w:proofErr w:type="gramStart"/>
            <w:r w:rsidRPr="00C14815">
              <w:rPr>
                <w:rFonts w:ascii="Times New Roman" w:hAnsi="Times New Roman" w:cs="Times New Roman"/>
                <w:sz w:val="28"/>
                <w:szCs w:val="28"/>
              </w:rPr>
              <w:t>а</w:t>
            </w:r>
            <w:proofErr w:type="gramEnd"/>
            <w:r w:rsidRPr="00C14815">
              <w:rPr>
                <w:rFonts w:ascii="Times New Roman" w:hAnsi="Times New Roman" w:cs="Times New Roman"/>
                <w:sz w:val="28"/>
                <w:szCs w:val="28"/>
              </w:rPr>
              <w:t xml:space="preserve">укцион </w:t>
            </w:r>
          </w:p>
          <w:p w:rsidR="00C14815" w:rsidRPr="00C14815" w:rsidRDefault="00C14815" w:rsidP="00612B6A">
            <w:pPr>
              <w:jc w:val="both"/>
              <w:outlineLvl w:val="0"/>
              <w:rPr>
                <w:rFonts w:ascii="Times New Roman" w:hAnsi="Times New Roman" w:cs="Times New Roman"/>
                <w:sz w:val="28"/>
                <w:szCs w:val="28"/>
              </w:rPr>
            </w:pPr>
          </w:p>
        </w:tc>
        <w:tc>
          <w:tcPr>
            <w:tcW w:w="87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495,4</w:t>
            </w:r>
          </w:p>
        </w:tc>
        <w:tc>
          <w:tcPr>
            <w:tcW w:w="131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468,2</w:t>
            </w:r>
          </w:p>
        </w:tc>
        <w:tc>
          <w:tcPr>
            <w:tcW w:w="907"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-27,2</w:t>
            </w:r>
          </w:p>
        </w:tc>
        <w:tc>
          <w:tcPr>
            <w:tcW w:w="104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14,3</w:t>
            </w:r>
          </w:p>
        </w:tc>
        <w:tc>
          <w:tcPr>
            <w:tcW w:w="113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1756,0</w:t>
            </w:r>
          </w:p>
        </w:tc>
        <w:tc>
          <w:tcPr>
            <w:tcW w:w="141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1697,0</w:t>
            </w:r>
          </w:p>
        </w:tc>
        <w:tc>
          <w:tcPr>
            <w:tcW w:w="850"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-59,0</w:t>
            </w:r>
          </w:p>
        </w:tc>
        <w:tc>
          <w:tcPr>
            <w:tcW w:w="993"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35,9</w:t>
            </w:r>
          </w:p>
        </w:tc>
      </w:tr>
      <w:tr w:rsidR="00C14815" w:rsidRPr="00C14815" w:rsidTr="00612B6A">
        <w:trPr>
          <w:trHeight w:val="647"/>
        </w:trPr>
        <w:tc>
          <w:tcPr>
            <w:tcW w:w="1635" w:type="dxa"/>
          </w:tcPr>
          <w:p w:rsidR="00C14815" w:rsidRPr="00C14815" w:rsidRDefault="00C14815" w:rsidP="00612B6A">
            <w:pPr>
              <w:jc w:val="both"/>
              <w:outlineLvl w:val="0"/>
              <w:rPr>
                <w:rFonts w:ascii="Times New Roman" w:hAnsi="Times New Roman" w:cs="Times New Roman"/>
                <w:sz w:val="28"/>
                <w:szCs w:val="28"/>
              </w:rPr>
            </w:pPr>
            <w:r w:rsidRPr="00C14815">
              <w:rPr>
                <w:rFonts w:ascii="Times New Roman" w:hAnsi="Times New Roman" w:cs="Times New Roman"/>
                <w:sz w:val="28"/>
                <w:szCs w:val="28"/>
              </w:rPr>
              <w:t>Запрос котировок</w:t>
            </w:r>
          </w:p>
        </w:tc>
        <w:tc>
          <w:tcPr>
            <w:tcW w:w="87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337,6</w:t>
            </w:r>
          </w:p>
        </w:tc>
        <w:tc>
          <w:tcPr>
            <w:tcW w:w="131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337,6</w:t>
            </w:r>
          </w:p>
        </w:tc>
        <w:tc>
          <w:tcPr>
            <w:tcW w:w="907"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104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10,3</w:t>
            </w:r>
          </w:p>
        </w:tc>
        <w:tc>
          <w:tcPr>
            <w:tcW w:w="113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141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850"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993"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r>
      <w:tr w:rsidR="00C14815" w:rsidRPr="00C14815" w:rsidTr="00612B6A">
        <w:trPr>
          <w:trHeight w:val="962"/>
        </w:trPr>
        <w:tc>
          <w:tcPr>
            <w:tcW w:w="1635" w:type="dxa"/>
          </w:tcPr>
          <w:p w:rsidR="00C14815" w:rsidRPr="00C14815" w:rsidRDefault="00C14815" w:rsidP="00612B6A">
            <w:pPr>
              <w:jc w:val="both"/>
              <w:outlineLvl w:val="0"/>
              <w:rPr>
                <w:rFonts w:ascii="Times New Roman" w:hAnsi="Times New Roman" w:cs="Times New Roman"/>
                <w:sz w:val="28"/>
                <w:szCs w:val="28"/>
              </w:rPr>
            </w:pPr>
            <w:r w:rsidRPr="00C14815">
              <w:rPr>
                <w:rFonts w:ascii="Times New Roman" w:hAnsi="Times New Roman" w:cs="Times New Roman"/>
                <w:sz w:val="28"/>
                <w:szCs w:val="28"/>
              </w:rPr>
              <w:t>Единственный поставщик, в т.ч.</w:t>
            </w:r>
          </w:p>
        </w:tc>
        <w:tc>
          <w:tcPr>
            <w:tcW w:w="87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2461,7</w:t>
            </w:r>
          </w:p>
        </w:tc>
        <w:tc>
          <w:tcPr>
            <w:tcW w:w="131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2461,7</w:t>
            </w:r>
          </w:p>
        </w:tc>
        <w:tc>
          <w:tcPr>
            <w:tcW w:w="907"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104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75,4</w:t>
            </w:r>
          </w:p>
        </w:tc>
        <w:tc>
          <w:tcPr>
            <w:tcW w:w="1134"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3028,0</w:t>
            </w:r>
          </w:p>
        </w:tc>
        <w:tc>
          <w:tcPr>
            <w:tcW w:w="1418"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3028,0</w:t>
            </w:r>
          </w:p>
        </w:tc>
        <w:tc>
          <w:tcPr>
            <w:tcW w:w="850"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w:t>
            </w:r>
          </w:p>
        </w:tc>
        <w:tc>
          <w:tcPr>
            <w:tcW w:w="993" w:type="dxa"/>
          </w:tcPr>
          <w:p w:rsidR="00C14815" w:rsidRPr="00C14815" w:rsidRDefault="00C14815" w:rsidP="00612B6A">
            <w:pPr>
              <w:jc w:val="center"/>
              <w:outlineLvl w:val="0"/>
              <w:rPr>
                <w:rFonts w:ascii="Times New Roman" w:hAnsi="Times New Roman" w:cs="Times New Roman"/>
                <w:sz w:val="28"/>
                <w:szCs w:val="28"/>
              </w:rPr>
            </w:pPr>
            <w:r w:rsidRPr="00C14815">
              <w:rPr>
                <w:rFonts w:ascii="Times New Roman" w:hAnsi="Times New Roman" w:cs="Times New Roman"/>
                <w:sz w:val="28"/>
                <w:szCs w:val="28"/>
              </w:rPr>
              <w:t>64,1</w:t>
            </w:r>
          </w:p>
        </w:tc>
      </w:tr>
      <w:tr w:rsidR="00C14815" w:rsidRPr="00C14815" w:rsidTr="00612B6A">
        <w:trPr>
          <w:trHeight w:val="315"/>
        </w:trPr>
        <w:tc>
          <w:tcPr>
            <w:tcW w:w="1635" w:type="dxa"/>
          </w:tcPr>
          <w:p w:rsidR="00C14815" w:rsidRPr="00C14815" w:rsidRDefault="00C14815" w:rsidP="00612B6A">
            <w:pPr>
              <w:jc w:val="both"/>
              <w:outlineLvl w:val="0"/>
              <w:rPr>
                <w:rFonts w:ascii="Times New Roman" w:hAnsi="Times New Roman" w:cs="Times New Roman"/>
                <w:i/>
                <w:sz w:val="28"/>
                <w:szCs w:val="28"/>
              </w:rPr>
            </w:pPr>
            <w:r w:rsidRPr="00C14815">
              <w:rPr>
                <w:rFonts w:ascii="Times New Roman" w:hAnsi="Times New Roman" w:cs="Times New Roman"/>
                <w:i/>
                <w:sz w:val="28"/>
                <w:szCs w:val="28"/>
              </w:rPr>
              <w:t>П.1, ст. 93</w:t>
            </w:r>
          </w:p>
        </w:tc>
        <w:tc>
          <w:tcPr>
            <w:tcW w:w="87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c>
          <w:tcPr>
            <w:tcW w:w="131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c>
          <w:tcPr>
            <w:tcW w:w="907" w:type="dxa"/>
          </w:tcPr>
          <w:p w:rsidR="00C14815" w:rsidRPr="00C14815" w:rsidRDefault="00C14815" w:rsidP="00612B6A">
            <w:pPr>
              <w:jc w:val="center"/>
              <w:outlineLvl w:val="0"/>
              <w:rPr>
                <w:rFonts w:ascii="Times New Roman" w:hAnsi="Times New Roman" w:cs="Times New Roman"/>
                <w:i/>
                <w:sz w:val="28"/>
                <w:szCs w:val="28"/>
              </w:rPr>
            </w:pPr>
          </w:p>
        </w:tc>
        <w:tc>
          <w:tcPr>
            <w:tcW w:w="104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c>
          <w:tcPr>
            <w:tcW w:w="113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c>
          <w:tcPr>
            <w:tcW w:w="141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c>
          <w:tcPr>
            <w:tcW w:w="850" w:type="dxa"/>
          </w:tcPr>
          <w:p w:rsidR="00C14815" w:rsidRPr="00C14815" w:rsidRDefault="00C14815" w:rsidP="00612B6A">
            <w:pPr>
              <w:jc w:val="center"/>
              <w:outlineLvl w:val="0"/>
              <w:rPr>
                <w:rFonts w:ascii="Times New Roman" w:hAnsi="Times New Roman" w:cs="Times New Roman"/>
                <w:i/>
                <w:sz w:val="28"/>
                <w:szCs w:val="28"/>
              </w:rPr>
            </w:pPr>
          </w:p>
        </w:tc>
        <w:tc>
          <w:tcPr>
            <w:tcW w:w="993"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w:t>
            </w:r>
          </w:p>
        </w:tc>
      </w:tr>
      <w:tr w:rsidR="00C14815" w:rsidRPr="00C14815" w:rsidTr="00612B6A">
        <w:trPr>
          <w:trHeight w:val="315"/>
        </w:trPr>
        <w:tc>
          <w:tcPr>
            <w:tcW w:w="1635" w:type="dxa"/>
          </w:tcPr>
          <w:p w:rsidR="00C14815" w:rsidRPr="00C14815" w:rsidRDefault="00C14815" w:rsidP="00612B6A">
            <w:pPr>
              <w:jc w:val="both"/>
              <w:outlineLvl w:val="0"/>
              <w:rPr>
                <w:rFonts w:ascii="Times New Roman" w:hAnsi="Times New Roman" w:cs="Times New Roman"/>
                <w:i/>
                <w:sz w:val="28"/>
                <w:szCs w:val="28"/>
              </w:rPr>
            </w:pPr>
            <w:r w:rsidRPr="00C14815">
              <w:rPr>
                <w:rFonts w:ascii="Times New Roman" w:hAnsi="Times New Roman" w:cs="Times New Roman"/>
                <w:i/>
                <w:sz w:val="28"/>
                <w:szCs w:val="28"/>
              </w:rPr>
              <w:t>П.4, ст. 93</w:t>
            </w:r>
          </w:p>
        </w:tc>
        <w:tc>
          <w:tcPr>
            <w:tcW w:w="87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1965,1</w:t>
            </w:r>
          </w:p>
        </w:tc>
        <w:tc>
          <w:tcPr>
            <w:tcW w:w="131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1965,1</w:t>
            </w:r>
          </w:p>
        </w:tc>
        <w:tc>
          <w:tcPr>
            <w:tcW w:w="907" w:type="dxa"/>
          </w:tcPr>
          <w:p w:rsidR="00C14815" w:rsidRPr="00C14815" w:rsidRDefault="00C14815" w:rsidP="00612B6A">
            <w:pPr>
              <w:jc w:val="center"/>
              <w:outlineLvl w:val="0"/>
              <w:rPr>
                <w:rFonts w:ascii="Times New Roman" w:hAnsi="Times New Roman" w:cs="Times New Roman"/>
                <w:i/>
                <w:sz w:val="28"/>
                <w:szCs w:val="28"/>
              </w:rPr>
            </w:pPr>
          </w:p>
        </w:tc>
        <w:tc>
          <w:tcPr>
            <w:tcW w:w="104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63,2</w:t>
            </w:r>
          </w:p>
        </w:tc>
        <w:tc>
          <w:tcPr>
            <w:tcW w:w="113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2393,6</w:t>
            </w:r>
          </w:p>
        </w:tc>
        <w:tc>
          <w:tcPr>
            <w:tcW w:w="141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2393,6</w:t>
            </w:r>
          </w:p>
        </w:tc>
        <w:tc>
          <w:tcPr>
            <w:tcW w:w="850" w:type="dxa"/>
          </w:tcPr>
          <w:p w:rsidR="00C14815" w:rsidRPr="00C14815" w:rsidRDefault="00C14815" w:rsidP="00612B6A">
            <w:pPr>
              <w:jc w:val="center"/>
              <w:outlineLvl w:val="0"/>
              <w:rPr>
                <w:rFonts w:ascii="Times New Roman" w:hAnsi="Times New Roman" w:cs="Times New Roman"/>
                <w:i/>
                <w:sz w:val="28"/>
                <w:szCs w:val="28"/>
              </w:rPr>
            </w:pPr>
          </w:p>
        </w:tc>
        <w:tc>
          <w:tcPr>
            <w:tcW w:w="993"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50,7</w:t>
            </w:r>
          </w:p>
        </w:tc>
      </w:tr>
      <w:tr w:rsidR="00C14815" w:rsidRPr="00C14815" w:rsidTr="00612B6A">
        <w:trPr>
          <w:trHeight w:val="422"/>
        </w:trPr>
        <w:tc>
          <w:tcPr>
            <w:tcW w:w="1635" w:type="dxa"/>
          </w:tcPr>
          <w:p w:rsidR="00C14815" w:rsidRPr="00C14815" w:rsidRDefault="00C14815" w:rsidP="00612B6A">
            <w:pPr>
              <w:jc w:val="both"/>
              <w:outlineLvl w:val="0"/>
              <w:rPr>
                <w:rFonts w:ascii="Times New Roman" w:hAnsi="Times New Roman" w:cs="Times New Roman"/>
                <w:i/>
                <w:sz w:val="28"/>
                <w:szCs w:val="28"/>
              </w:rPr>
            </w:pPr>
            <w:r w:rsidRPr="00C14815">
              <w:rPr>
                <w:rFonts w:ascii="Times New Roman" w:hAnsi="Times New Roman" w:cs="Times New Roman"/>
                <w:i/>
                <w:sz w:val="28"/>
                <w:szCs w:val="28"/>
              </w:rPr>
              <w:t>П.25, ст. 93</w:t>
            </w:r>
          </w:p>
        </w:tc>
        <w:tc>
          <w:tcPr>
            <w:tcW w:w="87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496,6</w:t>
            </w:r>
          </w:p>
        </w:tc>
        <w:tc>
          <w:tcPr>
            <w:tcW w:w="131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496,6</w:t>
            </w:r>
          </w:p>
        </w:tc>
        <w:tc>
          <w:tcPr>
            <w:tcW w:w="907" w:type="dxa"/>
          </w:tcPr>
          <w:p w:rsidR="00C14815" w:rsidRPr="00C14815" w:rsidRDefault="00C14815" w:rsidP="00612B6A">
            <w:pPr>
              <w:jc w:val="center"/>
              <w:outlineLvl w:val="0"/>
              <w:rPr>
                <w:rFonts w:ascii="Times New Roman" w:hAnsi="Times New Roman" w:cs="Times New Roman"/>
                <w:i/>
                <w:sz w:val="28"/>
                <w:szCs w:val="28"/>
              </w:rPr>
            </w:pPr>
          </w:p>
        </w:tc>
        <w:tc>
          <w:tcPr>
            <w:tcW w:w="104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12,2</w:t>
            </w:r>
          </w:p>
        </w:tc>
        <w:tc>
          <w:tcPr>
            <w:tcW w:w="1134"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634,4</w:t>
            </w:r>
          </w:p>
        </w:tc>
        <w:tc>
          <w:tcPr>
            <w:tcW w:w="1418"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634,4</w:t>
            </w:r>
          </w:p>
        </w:tc>
        <w:tc>
          <w:tcPr>
            <w:tcW w:w="850" w:type="dxa"/>
          </w:tcPr>
          <w:p w:rsidR="00C14815" w:rsidRPr="00C14815" w:rsidRDefault="00C14815" w:rsidP="00612B6A">
            <w:pPr>
              <w:jc w:val="center"/>
              <w:outlineLvl w:val="0"/>
              <w:rPr>
                <w:rFonts w:ascii="Times New Roman" w:hAnsi="Times New Roman" w:cs="Times New Roman"/>
                <w:i/>
                <w:sz w:val="28"/>
                <w:szCs w:val="28"/>
              </w:rPr>
            </w:pPr>
          </w:p>
        </w:tc>
        <w:tc>
          <w:tcPr>
            <w:tcW w:w="993" w:type="dxa"/>
          </w:tcPr>
          <w:p w:rsidR="00C14815" w:rsidRPr="00C14815" w:rsidRDefault="00C14815" w:rsidP="00612B6A">
            <w:pPr>
              <w:jc w:val="center"/>
              <w:outlineLvl w:val="0"/>
              <w:rPr>
                <w:rFonts w:ascii="Times New Roman" w:hAnsi="Times New Roman" w:cs="Times New Roman"/>
                <w:i/>
                <w:sz w:val="28"/>
                <w:szCs w:val="28"/>
              </w:rPr>
            </w:pPr>
            <w:r w:rsidRPr="00C14815">
              <w:rPr>
                <w:rFonts w:ascii="Times New Roman" w:hAnsi="Times New Roman" w:cs="Times New Roman"/>
                <w:i/>
                <w:sz w:val="28"/>
                <w:szCs w:val="28"/>
              </w:rPr>
              <w:t>13,4</w:t>
            </w:r>
          </w:p>
        </w:tc>
      </w:tr>
    </w:tbl>
    <w:p w:rsidR="00C14815" w:rsidRPr="00C14815" w:rsidRDefault="00C14815" w:rsidP="00C14815">
      <w:pPr>
        <w:spacing w:line="240" w:lineRule="auto"/>
        <w:ind w:firstLine="709"/>
        <w:jc w:val="both"/>
        <w:outlineLvl w:val="0"/>
        <w:rPr>
          <w:rFonts w:ascii="Times New Roman" w:hAnsi="Times New Roman" w:cs="Times New Roman"/>
          <w:sz w:val="28"/>
          <w:szCs w:val="28"/>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Экономия средств по результатам проведенных электронных аукционов составила в 2018 году 27,2 тыс. рублей, в 2019 году 59,0 тыс. рублей.</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 2018 году наибольший процент всех закупок (75,4) составили закупки у единственного поставщика, 24,6% приходится на конкурентные способы закупок: электронный аукцион (14,3%) и запрос котировок (10,3%).</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 2019 году наибольший процент всех закупок (64,1) составили также закупки у единственного поставщика, 35,9% приходится на конкурентные способы закупок электронный аукцион (35,9%).  Закупки запросом котировок не проводились.</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sz w:val="28"/>
          <w:szCs w:val="28"/>
        </w:rPr>
      </w:pPr>
      <w:proofErr w:type="gramStart"/>
      <w:r w:rsidRPr="00C14815">
        <w:rPr>
          <w:rFonts w:ascii="Times New Roman" w:eastAsia="Times New Roman" w:hAnsi="Times New Roman" w:cs="Times New Roman"/>
          <w:color w:val="000000" w:themeColor="text1"/>
          <w:sz w:val="28"/>
          <w:szCs w:val="28"/>
          <w:lang w:eastAsia="ru-RU"/>
        </w:rPr>
        <w:t>Закупки без проведения конкурентных способов закупок не противоречат Федеральному Закону №44-ФЗ, однако, в</w:t>
      </w:r>
      <w:r w:rsidRPr="00C14815">
        <w:rPr>
          <w:rFonts w:ascii="Times New Roman" w:hAnsi="Times New Roman" w:cs="Times New Roman"/>
          <w:sz w:val="28"/>
          <w:szCs w:val="28"/>
        </w:rPr>
        <w:t xml:space="preserve"> соответствии с </w:t>
      </w:r>
      <w:r w:rsidRPr="00C14815">
        <w:rPr>
          <w:rFonts w:ascii="Times New Roman" w:hAnsi="Times New Roman" w:cs="Times New Roman"/>
          <w:color w:val="000000" w:themeColor="text1"/>
          <w:sz w:val="28"/>
          <w:szCs w:val="28"/>
        </w:rPr>
        <w:t xml:space="preserve">пунктом 3.з)  Методики </w:t>
      </w:r>
      <w:r w:rsidRPr="00C14815">
        <w:rPr>
          <w:rFonts w:ascii="Times New Roman" w:hAnsi="Times New Roman" w:cs="Times New Roman"/>
          <w:bCs/>
          <w:color w:val="000000" w:themeColor="text1"/>
          <w:sz w:val="28"/>
          <w:szCs w:val="28"/>
          <w:shd w:val="clear" w:color="auto" w:fill="FFFFFF"/>
        </w:rPr>
        <w:t xml:space="preserve">проведения антикоррупционной экспертизы нормативных правовых актов и проектов нормативных правовых актов, </w:t>
      </w:r>
      <w:r w:rsidRPr="00C14815">
        <w:rPr>
          <w:rFonts w:ascii="Times New Roman" w:hAnsi="Times New Roman" w:cs="Times New Roman"/>
          <w:bCs/>
          <w:color w:val="000000" w:themeColor="text1"/>
          <w:sz w:val="28"/>
          <w:szCs w:val="28"/>
          <w:shd w:val="clear" w:color="auto" w:fill="FFFFFF"/>
        </w:rPr>
        <w:lastRenderedPageBreak/>
        <w:t xml:space="preserve">утвержденной  </w:t>
      </w:r>
      <w:r w:rsidRPr="00C14815">
        <w:rPr>
          <w:rFonts w:ascii="Times New Roman" w:hAnsi="Times New Roman" w:cs="Times New Roman"/>
          <w:color w:val="000000" w:themeColor="text1"/>
          <w:sz w:val="28"/>
          <w:szCs w:val="28"/>
        </w:rPr>
        <w:t>Постановлением  правительства Российской Федерации от 26.02.2010 года №96 «Об антикоррупционной экспертизе нормативных правовых актов и проектов нормативных правовых актов» отказ от конкурентных процедур имеет коррупционную</w:t>
      </w:r>
      <w:r w:rsidRPr="00C14815">
        <w:rPr>
          <w:rFonts w:ascii="Times New Roman" w:hAnsi="Times New Roman" w:cs="Times New Roman"/>
          <w:sz w:val="28"/>
          <w:szCs w:val="28"/>
        </w:rPr>
        <w:t xml:space="preserve"> составляющую.</w:t>
      </w:r>
      <w:proofErr w:type="gramEnd"/>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pStyle w:val="a3"/>
        <w:numPr>
          <w:ilvl w:val="0"/>
          <w:numId w:val="2"/>
        </w:num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Использование средств бюджета на реконструкцию объектов, капитальный и текущий ремонт.</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По смете расходов учреждения средства на реконструкцию объектов и  капитальный ремонт не выделялись.</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Средства на текущий ремонт в 2018 году израсходованы в сумме 92,0 тыс. рублей, в 2019 году в объеме 35,9 тыс. рублей, с января по апрель 2020 года средства не направлялись. Кроме того  приобретены и списаны материалы на текущий ремонт, проведенный силами штатных сотрудников.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6. Состояние расчетной дисциплины.</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Анализ дебиторской и кредиторской задолженности за 2018-2020 годы показал, что в целом   кредиторская задолженность уменьшилась.</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Размер кредиторской задолженности составил по состоянию</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01.01.2018 года -  73,6 тыс. руб.;</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01.01.2019 года – 146,1 тыс. руб.;</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01.01.2020 года – 37,3 тыс. руб.</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Реальность кредиторской задолженности подтверждена актами сверки взаимных расчетов по состоянию на 01 января 2020 года.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Случаев необоснованного списания дебиторской и кредиторской задолженности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Кредиторская задолженность носит текущий характер за предоставление ежемесячных регулярных услуг и не является просроченной.</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Размер дебиторской задолженности составил по состоянию</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01.01.2018 года -  29,2 тыс. руб.;</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01.01.2019 года – 28,0 тыс. руб.;</w:t>
      </w:r>
    </w:p>
    <w:p w:rsid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01.01.2020 года – 0,0 тыс. руб.</w:t>
      </w:r>
    </w:p>
    <w:p w:rsid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lastRenderedPageBreak/>
        <w:t>7. Ревизия банковских операций.</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Для учета движения средств, полученных из бюджета,  в проверяемом периоде учреждению  открыты лицевые счета для учета средств местного бюджета.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Проверкой достоверности и законности банковских операций, проведенной сплошным путем за период с 2018 года по апрель 2020 года по лицевому счету, нарушений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Учет операций по счетам ведется на основании первичных документов. Суммы, отраженные в банковских выписках соответствуют приложенным к ним первичным документам с отметкой банка об их исполнении. Остатки средств на начало и на конец месяца соответствуют данным Главной книги и мемориальных ордеров.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Отвлечения средств бюджета на депозитные счета в коммерческие банки не установлено.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Валютных счетов учреждение не имеет.</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8. Ревизия кассовых операций.</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8.1.  Ревизия кассовых операций проведена сплошным путем за период с 2018 года по апрель 2020года по бюджетным   средствам.</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Обязанности кассира в проверяемом периоде исполняет специалист Андронкина Вера Александровна, с которой заключен договор о полной индивидуальной </w:t>
      </w:r>
      <w:hyperlink r:id="rId12" w:tooltip="Материальная ответственность" w:history="1">
        <w:r w:rsidRPr="00C14815">
          <w:rPr>
            <w:rFonts w:ascii="Times New Roman" w:eastAsia="Times New Roman" w:hAnsi="Times New Roman" w:cs="Times New Roman"/>
            <w:color w:val="000000" w:themeColor="text1"/>
            <w:sz w:val="28"/>
            <w:szCs w:val="28"/>
            <w:lang w:eastAsia="ru-RU"/>
          </w:rPr>
          <w:t>материальной ответственности</w:t>
        </w:r>
      </w:hyperlink>
      <w:r w:rsidRPr="00C14815">
        <w:rPr>
          <w:rFonts w:ascii="Times New Roman" w:eastAsia="Times New Roman" w:hAnsi="Times New Roman" w:cs="Times New Roman"/>
          <w:color w:val="000000" w:themeColor="text1"/>
          <w:sz w:val="28"/>
          <w:szCs w:val="28"/>
          <w:lang w:eastAsia="ru-RU"/>
        </w:rPr>
        <w:t>.</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По состоянию на 01 июля 2020 года  у материально-ответственного лица кассира проведена инвентаризация наличных денежных средств и талонов ГСМ, находящихся в кассе, недостач и излишков не установлено.  Проверкой полноты и своевременности оприходования в кассу наличных денежных средств и талонов ГСМ, нарушений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t xml:space="preserve">Сроки и порядок проведения инвентаризации кассы и денежных средств, хранящихся на расчетных и других счетах в банках, устанавливаются руководителем организации и закрепляются в приказе об учетной политике.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Лимит остатка кассы, не утверждался.</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Денежные средства и талоны ГСМ хранятся в засыпном сейфе, помещение кассы не оборудовано.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При сопоставлении данных аналитического учета по субсчету  «Касса» с данными первичных оправдательных документов, и данными Журнала операций № 1, расхождений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lastRenderedPageBreak/>
        <w:t>Проверка целевого использования бюджетных средств полученных в кассу проведена сплошным путем в соответствии с приказом Минфина РФ от 30.12.2008 г. № 148-н «Об утверждении инструкции по бюджетному учету».</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За проверяемый период в части обоснованности отнесения расходов по предметным статьям, нарушений не установлено. Расходование средств осуществлялось на цели, соответствующие условиям их получения.</w:t>
      </w:r>
    </w:p>
    <w:p w:rsidR="00C14815" w:rsidRPr="00C14815" w:rsidRDefault="00C14815" w:rsidP="00C14815">
      <w:pPr>
        <w:spacing w:after="0" w:line="240" w:lineRule="auto"/>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color w:val="000000" w:themeColor="text1"/>
          <w:sz w:val="28"/>
          <w:szCs w:val="28"/>
          <w:lang w:eastAsia="ru-RU"/>
        </w:rPr>
        <w:t xml:space="preserve"> </w:t>
      </w:r>
      <w:r w:rsidRPr="00C14815">
        <w:rPr>
          <w:rFonts w:ascii="Times New Roman" w:eastAsia="Times New Roman" w:hAnsi="Times New Roman" w:cs="Times New Roman"/>
          <w:color w:val="000000" w:themeColor="text1"/>
          <w:sz w:val="28"/>
          <w:szCs w:val="28"/>
          <w:lang w:eastAsia="ru-RU"/>
        </w:rPr>
        <w:tab/>
        <w:t xml:space="preserve">8.2. В </w:t>
      </w:r>
      <w:r w:rsidRPr="00C14815">
        <w:rPr>
          <w:rFonts w:ascii="Times New Roman" w:eastAsia="Times New Roman" w:hAnsi="Times New Roman" w:cs="Times New Roman"/>
          <w:sz w:val="28"/>
          <w:szCs w:val="28"/>
          <w:lang w:eastAsia="ru-RU"/>
        </w:rPr>
        <w:t xml:space="preserve">соответствии с </w:t>
      </w:r>
      <w:r w:rsidRPr="00C14815">
        <w:rPr>
          <w:rFonts w:ascii="Times New Roman" w:eastAsia="Times New Roman" w:hAnsi="Times New Roman" w:cs="Times New Roman"/>
          <w:sz w:val="28"/>
          <w:szCs w:val="28"/>
          <w:shd w:val="clear" w:color="auto" w:fill="FFFFFF"/>
          <w:lang w:eastAsia="ru-RU"/>
        </w:rPr>
        <w:t>п. 169 Инструкции к Единому плану счетов № 157н талоны на ГСМ учитываются в составе денежных документов  и хранятся в кассе учреждения.</w:t>
      </w:r>
    </w:p>
    <w:p w:rsidR="00C14815" w:rsidRPr="00C14815" w:rsidRDefault="00C14815" w:rsidP="00C1481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sz w:val="28"/>
          <w:szCs w:val="28"/>
          <w:shd w:val="clear" w:color="auto" w:fill="FFFFFF"/>
          <w:lang w:eastAsia="ru-RU"/>
        </w:rPr>
        <w:t>Получение и выдачу талонов оформляются приходным кассовым ордером (по форме № КО-1) и расходным кассовым ордером (по форме № КО-2) соответственно.</w:t>
      </w:r>
    </w:p>
    <w:p w:rsidR="00C14815" w:rsidRPr="00C14815" w:rsidRDefault="00C14815" w:rsidP="00C14815">
      <w:pPr>
        <w:spacing w:after="0" w:line="240" w:lineRule="auto"/>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sz w:val="28"/>
          <w:szCs w:val="28"/>
          <w:shd w:val="clear" w:color="auto" w:fill="FFFFFF"/>
          <w:lang w:eastAsia="ru-RU"/>
        </w:rPr>
        <w:t xml:space="preserve"> </w:t>
      </w:r>
      <w:r w:rsidRPr="00C14815">
        <w:rPr>
          <w:rFonts w:ascii="Times New Roman" w:eastAsia="Times New Roman" w:hAnsi="Times New Roman" w:cs="Times New Roman"/>
          <w:sz w:val="28"/>
          <w:szCs w:val="28"/>
          <w:shd w:val="clear" w:color="auto" w:fill="FFFFFF"/>
          <w:lang w:eastAsia="ru-RU"/>
        </w:rPr>
        <w:tab/>
        <w:t>Приходные и расходные кассовые ордера с записью «фондовый» регистрируются в журнале регистрации приходных и расходных кассовых документов (форма № КО-3) отдельно от операций, связанных с движением денежных средств.</w:t>
      </w:r>
    </w:p>
    <w:p w:rsidR="00C14815" w:rsidRPr="00C14815" w:rsidRDefault="00C14815" w:rsidP="00C1481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sz w:val="28"/>
          <w:szCs w:val="28"/>
          <w:shd w:val="clear" w:color="auto" w:fill="FFFFFF"/>
          <w:lang w:eastAsia="ru-RU"/>
        </w:rPr>
        <w:t xml:space="preserve"> Такой порядок установлен пунктом 170 Инструкции к Единому плану счетов № 157н. </w:t>
      </w:r>
    </w:p>
    <w:p w:rsidR="00C14815" w:rsidRPr="00C14815" w:rsidRDefault="00C14815" w:rsidP="00C1481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sz w:val="28"/>
          <w:szCs w:val="28"/>
          <w:shd w:val="clear" w:color="auto" w:fill="FFFFFF"/>
          <w:lang w:eastAsia="ru-RU"/>
        </w:rPr>
        <w:t xml:space="preserve">В нарушение </w:t>
      </w:r>
      <w:proofErr w:type="gramStart"/>
      <w:r w:rsidRPr="00C14815">
        <w:rPr>
          <w:rFonts w:ascii="Times New Roman" w:eastAsia="Times New Roman" w:hAnsi="Times New Roman" w:cs="Times New Roman"/>
          <w:sz w:val="28"/>
          <w:szCs w:val="28"/>
          <w:shd w:val="clear" w:color="auto" w:fill="FFFFFF"/>
          <w:lang w:eastAsia="ru-RU"/>
        </w:rPr>
        <w:t>вышеизложенного</w:t>
      </w:r>
      <w:proofErr w:type="gramEnd"/>
      <w:r w:rsidRPr="00C14815">
        <w:rPr>
          <w:rFonts w:ascii="Times New Roman" w:eastAsia="Times New Roman" w:hAnsi="Times New Roman" w:cs="Times New Roman"/>
          <w:sz w:val="28"/>
          <w:szCs w:val="28"/>
          <w:shd w:val="clear" w:color="auto" w:fill="FFFFFF"/>
          <w:lang w:eastAsia="ru-RU"/>
        </w:rPr>
        <w:t>,  талоны выдаются под отчет по единой ведомости, открытой отдельно на каждое материально-ответственное лицо. Отсутствует ежедневное ведение кассовой книги с пометкой «фондовый». Расходный ордер выписывается на каждое материально-ответственное лицо, на общую сумму выданных талонов за месяц.</w:t>
      </w: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 xml:space="preserve">9. Правомерность использования средств бюджета </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на</w:t>
      </w:r>
      <w:r w:rsidRPr="00C14815">
        <w:rPr>
          <w:rFonts w:ascii="Times New Roman" w:eastAsia="Times New Roman" w:hAnsi="Times New Roman" w:cs="Times New Roman"/>
          <w:b/>
          <w:bCs/>
          <w:color w:val="000000" w:themeColor="text1"/>
          <w:sz w:val="28"/>
          <w:szCs w:val="28"/>
          <w:lang w:eastAsia="ru-RU"/>
        </w:rPr>
        <w:t> </w:t>
      </w:r>
      <w:hyperlink r:id="rId13" w:tooltip="Оплата труда" w:history="1">
        <w:r w:rsidRPr="00C14815">
          <w:rPr>
            <w:rFonts w:ascii="Times New Roman" w:eastAsia="Times New Roman" w:hAnsi="Times New Roman" w:cs="Times New Roman"/>
            <w:b/>
            <w:bCs/>
            <w:color w:val="000000" w:themeColor="text1"/>
            <w:sz w:val="28"/>
            <w:szCs w:val="28"/>
            <w:lang w:eastAsia="ru-RU"/>
          </w:rPr>
          <w:t>оплату труда</w:t>
        </w:r>
      </w:hyperlink>
      <w:r w:rsidRPr="00C14815">
        <w:rPr>
          <w:rFonts w:ascii="Times New Roman" w:eastAsia="Times New Roman" w:hAnsi="Times New Roman" w:cs="Times New Roman"/>
          <w:b/>
          <w:bCs/>
          <w:color w:val="000000" w:themeColor="text1"/>
          <w:sz w:val="28"/>
          <w:szCs w:val="28"/>
          <w:lang w:eastAsia="ru-RU"/>
        </w:rPr>
        <w:t> </w:t>
      </w:r>
      <w:r w:rsidRPr="00C14815">
        <w:rPr>
          <w:rFonts w:ascii="Times New Roman" w:eastAsia="Times New Roman" w:hAnsi="Times New Roman" w:cs="Times New Roman"/>
          <w:b/>
          <w:bCs/>
          <w:color w:val="000000" w:themeColor="text1"/>
          <w:sz w:val="28"/>
          <w:szCs w:val="28"/>
          <w:bdr w:val="none" w:sz="0" w:space="0" w:color="auto" w:frame="1"/>
          <w:lang w:eastAsia="ru-RU"/>
        </w:rPr>
        <w:t>и уплату единого социального налога.</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Оплата труда аппарата управления учреждения и всего персонала производилась согласно штатному расписанию, утвержденному директором Учреждения, в соответствии с положением об оплате труда, утвержденного постановлением муниципального образования Куркинский район от 01.03.2018 года №99 «Об оплате труда работников муниципального казенного учреждения «Служба хозяйственного обслуживания» (с изменениями и дополнениями).</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Штатное расписание Учреждения по бюджетным средствам было утверждено: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на 11.06.2013 года в количестве 19,5 единиц;</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 на 01.03.2018 года в количестве 32,5 единицы (постановление №128 от 21.03.2018г);</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lastRenderedPageBreak/>
        <w:t>на 01.01.2020 года в количестве 33,5 единиц (постановление №1 от 09.01.2020г);</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13.03.2020 года в количестве 37,5 единиц (постановление №151 от 16.03.2020г);</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 12.05.2020 года в количестве 39,5 единиц (постановление №238 от 12.05.2020г).</w:t>
      </w: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sidRPr="00C14815">
        <w:rPr>
          <w:rFonts w:ascii="Times New Roman" w:hAnsi="Times New Roman" w:cs="Times New Roman"/>
          <w:sz w:val="28"/>
          <w:szCs w:val="28"/>
        </w:rPr>
        <w:tab/>
        <w:t xml:space="preserve">В нарушение пункта 17 решения Собрания представителей Муниципального образования Куркинский район от </w:t>
      </w:r>
      <w:r w:rsidRPr="00C14815">
        <w:rPr>
          <w:rFonts w:ascii="Times New Roman" w:eastAsia="Times New Roman" w:hAnsi="Times New Roman" w:cs="Times New Roman"/>
          <w:color w:val="010101"/>
          <w:sz w:val="28"/>
          <w:szCs w:val="28"/>
          <w:lang w:eastAsia="ru-RU"/>
        </w:rPr>
        <w:t>25.12.2019г №9-2.</w:t>
      </w:r>
      <w:r w:rsidRPr="00C14815">
        <w:rPr>
          <w:rFonts w:ascii="Times New Roman" w:hAnsi="Times New Roman" w:cs="Times New Roman"/>
          <w:sz w:val="28"/>
          <w:szCs w:val="28"/>
        </w:rPr>
        <w:t xml:space="preserve"> </w:t>
      </w:r>
      <w:proofErr w:type="gramStart"/>
      <w:r w:rsidRPr="00C14815">
        <w:rPr>
          <w:rFonts w:ascii="Times New Roman" w:hAnsi="Times New Roman" w:cs="Times New Roman"/>
          <w:sz w:val="28"/>
          <w:szCs w:val="28"/>
        </w:rPr>
        <w:t xml:space="preserve">«О бюджете муниципального образования Куркинский район на 2020 год и на плановый период 2021 и 2022 годов» «Администрация муниципального образования Куркинский район </w:t>
      </w:r>
      <w:r w:rsidRPr="00C14815">
        <w:rPr>
          <w:rFonts w:ascii="Times New Roman" w:eastAsia="Calibri" w:hAnsi="Times New Roman" w:cs="Times New Roman"/>
          <w:sz w:val="28"/>
          <w:szCs w:val="28"/>
        </w:rPr>
        <w:t xml:space="preserve">не вправе принимать решения, приводящие к увеличению в 2020 году численности муниципальных служащих, работников, замещающих должности, не отнесенные к должностям муниципальной службы, а также работников казенных учреждений района, являющихся получателями бюджетных средств», </w:t>
      </w:r>
      <w:r w:rsidRPr="00C14815">
        <w:rPr>
          <w:rFonts w:ascii="Times New Roman" w:hAnsi="Times New Roman" w:cs="Times New Roman"/>
          <w:sz w:val="28"/>
          <w:szCs w:val="28"/>
        </w:rPr>
        <w:t>принято решение об увеличении штатной численности</w:t>
      </w:r>
      <w:proofErr w:type="gramEnd"/>
      <w:r w:rsidRPr="00C14815">
        <w:rPr>
          <w:rFonts w:ascii="Times New Roman" w:hAnsi="Times New Roman" w:cs="Times New Roman"/>
          <w:sz w:val="28"/>
          <w:szCs w:val="28"/>
        </w:rPr>
        <w:t xml:space="preserve"> на 7,0 единицы. </w:t>
      </w: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sidRPr="00C14815">
        <w:rPr>
          <w:rFonts w:ascii="Times New Roman" w:hAnsi="Times New Roman" w:cs="Times New Roman"/>
          <w:sz w:val="28"/>
          <w:szCs w:val="28"/>
        </w:rPr>
        <w:tab/>
        <w:t>Увеличение штатной численности привело к росту годового фонда оплаты труда в 2020 году около 1250,7 тыс. рублей, а с учетом выплаты страховых взносов более 1,6 млн. рублей.</w:t>
      </w: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sidRPr="00C14815">
        <w:rPr>
          <w:rFonts w:ascii="Times New Roman" w:hAnsi="Times New Roman" w:cs="Times New Roman"/>
          <w:sz w:val="28"/>
          <w:szCs w:val="28"/>
        </w:rPr>
        <w:tab/>
        <w:t>При наличии в штатном расписании 1-ой штатной единицы дворника по обслуживанию территории Администрации  были введены еще 3(три) единицы дворника территории Администрации и 2(две) единицы рабочих по благоустройству зданий и прилегающих к ним территорий подведомственных Администрации муниципального образования Куркинский район учреждений.</w:t>
      </w:r>
    </w:p>
    <w:p w:rsidR="00C14815" w:rsidRPr="00C14815" w:rsidRDefault="00C14815" w:rsidP="00C14815">
      <w:pPr>
        <w:spacing w:before="67" w:after="67"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hAnsi="Times New Roman" w:cs="Times New Roman"/>
          <w:sz w:val="28"/>
          <w:szCs w:val="28"/>
        </w:rPr>
        <w:tab/>
        <w:t xml:space="preserve"> </w:t>
      </w:r>
      <w:proofErr w:type="gramStart"/>
      <w:r w:rsidRPr="00C14815">
        <w:rPr>
          <w:rFonts w:ascii="Times New Roman" w:hAnsi="Times New Roman" w:cs="Times New Roman"/>
          <w:sz w:val="28"/>
          <w:szCs w:val="28"/>
        </w:rPr>
        <w:t xml:space="preserve">В соответствии с </w:t>
      </w:r>
      <w:r w:rsidRPr="00C14815">
        <w:rPr>
          <w:rFonts w:ascii="Times New Roman" w:eastAsia="Times New Roman" w:hAnsi="Times New Roman" w:cs="Times New Roman"/>
          <w:color w:val="302030"/>
          <w:sz w:val="28"/>
          <w:szCs w:val="28"/>
          <w:lang w:eastAsia="ru-RU"/>
        </w:rPr>
        <w:t xml:space="preserve">«Рекомендациями по нормированию труда рабочих, занятых содержанием и ремонтом жилищного фонда МДК 2-02-01 (утвержденных приказом Госстроя РФ от 09 декабря 1999 г. № 139) нормы обслуживания убираемых территорий зависят от времени года, погодных </w:t>
      </w:r>
      <w:r w:rsidRPr="00C14815">
        <w:rPr>
          <w:rFonts w:ascii="Times New Roman" w:eastAsia="Times New Roman" w:hAnsi="Times New Roman" w:cs="Times New Roman"/>
          <w:color w:val="000000" w:themeColor="text1"/>
          <w:sz w:val="28"/>
          <w:szCs w:val="28"/>
          <w:lang w:eastAsia="ru-RU"/>
        </w:rPr>
        <w:t>условий, типа покрытия территории и других факторов и утверждена по существующей территориальной норме обслуживания ручной уборки, которую дворник должен убирать за свою рабочую смену: норма</w:t>
      </w:r>
      <w:proofErr w:type="gramEnd"/>
      <w:r w:rsidRPr="00C14815">
        <w:rPr>
          <w:rFonts w:ascii="Times New Roman" w:eastAsia="Times New Roman" w:hAnsi="Times New Roman" w:cs="Times New Roman"/>
          <w:color w:val="000000" w:themeColor="text1"/>
          <w:sz w:val="28"/>
          <w:szCs w:val="28"/>
          <w:lang w:eastAsia="ru-RU"/>
        </w:rPr>
        <w:t xml:space="preserve"> 1200 м</w:t>
      </w:r>
      <w:proofErr w:type="gramStart"/>
      <w:r w:rsidRPr="00C14815">
        <w:rPr>
          <w:rFonts w:ascii="Times New Roman" w:eastAsia="Times New Roman" w:hAnsi="Times New Roman" w:cs="Times New Roman"/>
          <w:color w:val="000000" w:themeColor="text1"/>
          <w:sz w:val="28"/>
          <w:szCs w:val="28"/>
          <w:lang w:eastAsia="ru-RU"/>
        </w:rPr>
        <w:t>2</w:t>
      </w:r>
      <w:proofErr w:type="gramEnd"/>
      <w:r w:rsidRPr="00C14815">
        <w:rPr>
          <w:rFonts w:ascii="Times New Roman" w:eastAsia="Times New Roman" w:hAnsi="Times New Roman" w:cs="Times New Roman"/>
          <w:color w:val="000000" w:themeColor="text1"/>
          <w:sz w:val="28"/>
          <w:szCs w:val="28"/>
          <w:lang w:eastAsia="ru-RU"/>
        </w:rPr>
        <w:t xml:space="preserve"> площади с твердым покрытием и 3000 м2 газонов.</w:t>
      </w:r>
      <w:r w:rsidRPr="00C14815">
        <w:rPr>
          <w:rFonts w:ascii="Times New Roman" w:eastAsia="Times New Roman" w:hAnsi="Times New Roman" w:cs="Times New Roman"/>
          <w:color w:val="000000" w:themeColor="text1"/>
          <w:sz w:val="28"/>
          <w:szCs w:val="28"/>
          <w:lang w:eastAsia="ru-RU"/>
        </w:rPr>
        <w:br/>
        <w:t xml:space="preserve">        Территориальная норма обслуживания ручной уборки усреднена. Фактически она варьируется от нормы времени, необходимого на уборку 1 кв</w:t>
      </w:r>
      <w:proofErr w:type="gramStart"/>
      <w:r w:rsidRPr="00C14815">
        <w:rPr>
          <w:rFonts w:ascii="Times New Roman" w:eastAsia="Times New Roman" w:hAnsi="Times New Roman" w:cs="Times New Roman"/>
          <w:color w:val="000000" w:themeColor="text1"/>
          <w:sz w:val="28"/>
          <w:szCs w:val="28"/>
          <w:lang w:eastAsia="ru-RU"/>
        </w:rPr>
        <w:t>.м</w:t>
      </w:r>
      <w:proofErr w:type="gramEnd"/>
      <w:r w:rsidRPr="00C14815">
        <w:rPr>
          <w:rFonts w:ascii="Times New Roman" w:eastAsia="Times New Roman" w:hAnsi="Times New Roman" w:cs="Times New Roman"/>
          <w:color w:val="000000" w:themeColor="text1"/>
          <w:sz w:val="28"/>
          <w:szCs w:val="28"/>
          <w:lang w:eastAsia="ru-RU"/>
        </w:rPr>
        <w:t>, зависит как от вида территории, так и вида образования (пыльный смёт, очистка от тонкого или толстого слоя выпавшего снега, скалывание снего-ледово</w:t>
      </w:r>
      <w:r>
        <w:rPr>
          <w:rFonts w:ascii="Times New Roman" w:eastAsia="Times New Roman" w:hAnsi="Times New Roman" w:cs="Times New Roman"/>
          <w:color w:val="000000" w:themeColor="text1"/>
          <w:sz w:val="28"/>
          <w:szCs w:val="28"/>
          <w:lang w:eastAsia="ru-RU"/>
        </w:rPr>
        <w:t>го</w:t>
      </w:r>
      <w:r w:rsidRPr="00C14815">
        <w:rPr>
          <w:rFonts w:ascii="Times New Roman" w:eastAsia="Times New Roman" w:hAnsi="Times New Roman" w:cs="Times New Roman"/>
          <w:color w:val="000000" w:themeColor="text1"/>
          <w:sz w:val="28"/>
          <w:szCs w:val="28"/>
          <w:lang w:eastAsia="ru-RU"/>
        </w:rPr>
        <w:t xml:space="preserve"> образования.</w:t>
      </w:r>
    </w:p>
    <w:p w:rsidR="00C14815" w:rsidRPr="00C14815" w:rsidRDefault="00C14815" w:rsidP="00C14815">
      <w:pPr>
        <w:spacing w:before="67" w:after="67" w:line="240" w:lineRule="auto"/>
        <w:jc w:val="both"/>
        <w:rPr>
          <w:rFonts w:ascii="Times New Roman" w:hAnsi="Times New Roman" w:cs="Times New Roman"/>
          <w:sz w:val="28"/>
          <w:szCs w:val="28"/>
        </w:rPr>
      </w:pPr>
      <w:r w:rsidRPr="00C14815">
        <w:rPr>
          <w:rFonts w:ascii="Times New Roman" w:hAnsi="Times New Roman" w:cs="Times New Roman"/>
          <w:sz w:val="28"/>
          <w:szCs w:val="28"/>
        </w:rPr>
        <w:tab/>
        <w:t xml:space="preserve">Площадь здания и прилегающих к зданию Администрации муниципального образования Куркинский район территорий составляет 8948 </w:t>
      </w:r>
      <w:r w:rsidRPr="00C14815">
        <w:rPr>
          <w:rFonts w:ascii="Times New Roman" w:hAnsi="Times New Roman" w:cs="Times New Roman"/>
          <w:sz w:val="28"/>
          <w:szCs w:val="28"/>
        </w:rPr>
        <w:lastRenderedPageBreak/>
        <w:t>м</w:t>
      </w:r>
      <w:proofErr w:type="gramStart"/>
      <w:r w:rsidRPr="00C14815">
        <w:rPr>
          <w:rFonts w:ascii="Times New Roman" w:hAnsi="Times New Roman" w:cs="Times New Roman"/>
          <w:sz w:val="28"/>
          <w:szCs w:val="28"/>
        </w:rPr>
        <w:t>2</w:t>
      </w:r>
      <w:proofErr w:type="gramEnd"/>
      <w:r w:rsidRPr="00C14815">
        <w:rPr>
          <w:rFonts w:ascii="Times New Roman" w:hAnsi="Times New Roman" w:cs="Times New Roman"/>
          <w:sz w:val="28"/>
          <w:szCs w:val="28"/>
        </w:rPr>
        <w:t>, что по вышеуказанным нормам уборки соответствует не более 1,5 ставкам дворника.</w:t>
      </w:r>
    </w:p>
    <w:p w:rsidR="00C14815" w:rsidRPr="00C14815" w:rsidRDefault="00C14815" w:rsidP="00C14815">
      <w:pPr>
        <w:spacing w:before="67" w:after="67" w:line="240" w:lineRule="auto"/>
        <w:jc w:val="both"/>
        <w:rPr>
          <w:rFonts w:ascii="Times New Roman" w:hAnsi="Times New Roman" w:cs="Times New Roman"/>
          <w:sz w:val="28"/>
          <w:szCs w:val="28"/>
        </w:rPr>
      </w:pPr>
      <w:r w:rsidRPr="00C14815">
        <w:rPr>
          <w:rFonts w:ascii="Times New Roman" w:hAnsi="Times New Roman" w:cs="Times New Roman"/>
          <w:sz w:val="28"/>
          <w:szCs w:val="28"/>
        </w:rPr>
        <w:tab/>
        <w:t>Таким образом необоснованная прибавка 2,5 ставок дворника и 2(двух) единицы рабочих по благоустройству зданий и прилегающих к ним территорий соответствует необоснованным  расходам за год 1245,3 тыс. рублей (2,5ставки*16053,3ср. зарплата*12 мес.*1,3страх</w:t>
      </w:r>
      <w:proofErr w:type="gramStart"/>
      <w:r w:rsidRPr="00C14815">
        <w:rPr>
          <w:rFonts w:ascii="Times New Roman" w:hAnsi="Times New Roman" w:cs="Times New Roman"/>
          <w:sz w:val="28"/>
          <w:szCs w:val="28"/>
        </w:rPr>
        <w:t>.</w:t>
      </w:r>
      <w:proofErr w:type="gramEnd"/>
      <w:r w:rsidRPr="00C14815">
        <w:rPr>
          <w:rFonts w:ascii="Times New Roman" w:hAnsi="Times New Roman" w:cs="Times New Roman"/>
          <w:sz w:val="28"/>
          <w:szCs w:val="28"/>
        </w:rPr>
        <w:t xml:space="preserve"> </w:t>
      </w:r>
      <w:proofErr w:type="gramStart"/>
      <w:r w:rsidRPr="00C14815">
        <w:rPr>
          <w:rFonts w:ascii="Times New Roman" w:hAnsi="Times New Roman" w:cs="Times New Roman"/>
          <w:sz w:val="28"/>
          <w:szCs w:val="28"/>
        </w:rPr>
        <w:t>в</w:t>
      </w:r>
      <w:proofErr w:type="gramEnd"/>
      <w:r w:rsidRPr="00C14815">
        <w:rPr>
          <w:rFonts w:ascii="Times New Roman" w:hAnsi="Times New Roman" w:cs="Times New Roman"/>
          <w:sz w:val="28"/>
          <w:szCs w:val="28"/>
        </w:rPr>
        <w:t xml:space="preserve">зносы=626,1; 2 ставки*19845,0*12 *1,3=619,2). </w:t>
      </w:r>
    </w:p>
    <w:p w:rsidR="00C14815" w:rsidRPr="00C14815" w:rsidRDefault="00C14815" w:rsidP="00C14815">
      <w:pPr>
        <w:spacing w:before="67" w:after="67" w:line="240" w:lineRule="auto"/>
        <w:ind w:firstLine="507"/>
        <w:jc w:val="both"/>
        <w:rPr>
          <w:rFonts w:ascii="Times New Roman" w:hAnsi="Times New Roman" w:cs="Times New Roman"/>
          <w:sz w:val="28"/>
          <w:szCs w:val="28"/>
        </w:rPr>
      </w:pPr>
      <w:r w:rsidRPr="00C14815">
        <w:rPr>
          <w:rFonts w:ascii="Times New Roman" w:hAnsi="Times New Roman" w:cs="Times New Roman"/>
          <w:sz w:val="28"/>
          <w:szCs w:val="28"/>
        </w:rPr>
        <w:t>Годовой фонд оплаты труда 2-х ставок дежурных по пропускному режиму составляет 380,6 тыс. рублей.</w:t>
      </w:r>
    </w:p>
    <w:p w:rsidR="00C14815" w:rsidRPr="00C14815" w:rsidRDefault="00C14815" w:rsidP="00C14815">
      <w:pPr>
        <w:spacing w:before="67" w:after="67" w:line="240" w:lineRule="auto"/>
        <w:jc w:val="both"/>
        <w:rPr>
          <w:rFonts w:ascii="Times New Roman" w:hAnsi="Times New Roman" w:cs="Times New Roman"/>
          <w:sz w:val="28"/>
          <w:szCs w:val="28"/>
        </w:rPr>
      </w:pP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eastAsia="Times New Roman" w:hAnsi="Times New Roman" w:cs="Times New Roman"/>
          <w:color w:val="000000" w:themeColor="text1"/>
          <w:sz w:val="28"/>
          <w:szCs w:val="28"/>
          <w:lang w:eastAsia="ru-RU"/>
        </w:rPr>
      </w:pPr>
      <w:r w:rsidRPr="00C14815">
        <w:rPr>
          <w:rFonts w:ascii="Times New Roman" w:hAnsi="Times New Roman" w:cs="Times New Roman"/>
          <w:sz w:val="28"/>
          <w:szCs w:val="28"/>
        </w:rPr>
        <w:tab/>
        <w:t>Правильность начисления заработной платы проверено выборочным путем, нарушений и расхождений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Выборочно проверена правильность составления и оформления расчетно-платежных ведомостей на выплату заработной платы, нарушений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Задолженности по выплате заработной платы работникам Учреждения за счет средств бюджета в проверяемом периоде не выявлено.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Проверка правильности начислений на фонд оплаты труда проведена выборочным путем.</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Начисление </w:t>
      </w:r>
      <w:hyperlink r:id="rId14" w:tooltip="Взнос" w:history="1">
        <w:r w:rsidRPr="00C14815">
          <w:rPr>
            <w:rFonts w:ascii="Times New Roman" w:eastAsia="Times New Roman" w:hAnsi="Times New Roman" w:cs="Times New Roman"/>
            <w:color w:val="000000" w:themeColor="text1"/>
            <w:sz w:val="28"/>
            <w:szCs w:val="28"/>
            <w:lang w:eastAsia="ru-RU"/>
          </w:rPr>
          <w:t>взносов</w:t>
        </w:r>
      </w:hyperlink>
      <w:r w:rsidRPr="00C14815">
        <w:rPr>
          <w:rFonts w:ascii="Times New Roman" w:eastAsia="Times New Roman" w:hAnsi="Times New Roman" w:cs="Times New Roman"/>
          <w:color w:val="000000" w:themeColor="text1"/>
          <w:sz w:val="28"/>
          <w:szCs w:val="28"/>
          <w:lang w:eastAsia="ru-RU"/>
        </w:rPr>
        <w:t> на социальное страхование, обязательное медицинское страхование, страховых взносов учреждения и работников в Пенсионный фонд РФ производилось один раз в месяц на основании журнала операций расчетов по заработной плате и начислениям на фонд оплаты труда. Перечень выплат, на которые начислялись страховые взносы, определен в соответствии с действующим законодательством.</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Данные журнала операций расчетов по заработной плате и начислениям соответствуют данным главной книги и баланса исполнения сметы доходов и расходов.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Карточки-справки на работников учреждения заполнены не полностью, отсутствуют отметки об изменениях в заработной плате, информация об отпусках и видах постоянных удержаний. Отсутствует начисление заработной платы по видам постоянных выплат, надбавок и доплат.</w:t>
      </w:r>
    </w:p>
    <w:p w:rsidR="00C14815" w:rsidRPr="00C14815" w:rsidRDefault="00C14815" w:rsidP="00C1481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color w:val="000000" w:themeColor="text1"/>
          <w:sz w:val="28"/>
          <w:szCs w:val="28"/>
          <w:lang w:eastAsia="ru-RU"/>
        </w:rPr>
        <w:t xml:space="preserve">Карточки-справки за 2018 год содержат по списку 53 человека (в штате 19,5 единицы), в 2019 году- 62 человека (в штате – 32,5 единицы), налицо высокая текучесть кадров. </w:t>
      </w:r>
      <w:r w:rsidRPr="00C14815">
        <w:rPr>
          <w:rFonts w:ascii="Times New Roman" w:eastAsia="Times New Roman" w:hAnsi="Times New Roman" w:cs="Times New Roman"/>
          <w:sz w:val="28"/>
          <w:szCs w:val="28"/>
          <w:lang w:eastAsia="ru-RU"/>
        </w:rPr>
        <w:t xml:space="preserve">По </w:t>
      </w:r>
      <w:r w:rsidRPr="00C14815">
        <w:rPr>
          <w:rFonts w:ascii="Times New Roman" w:eastAsia="Times New Roman" w:hAnsi="Times New Roman" w:cs="Times New Roman"/>
          <w:sz w:val="28"/>
          <w:szCs w:val="28"/>
          <w:shd w:val="clear" w:color="auto" w:fill="FFFFFF"/>
          <w:lang w:eastAsia="ru-RU"/>
        </w:rPr>
        <w:t>постановлению Минтруда СССР от 14.11.1991 № 78 «Об утверждении межотраслевых укрупненных нормативов времени на работы по комплектованию и учету кадров» расчет нормативной численности специалистов по учету кадров показывает необходимость введения части ставки, пропорционально существующей нагрузке.</w:t>
      </w:r>
    </w:p>
    <w:p w:rsidR="00C14815" w:rsidRPr="00C14815" w:rsidRDefault="00C14815" w:rsidP="00C14815">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lastRenderedPageBreak/>
        <w:t>10. Расчеты с подотчетными лицами.</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Денежные средства за проверяемый период в подотчет не выдавались. В подотчет из кассы учреждения выдаются талоны на получение ГСМ.</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Ежемесячно, каждое материально-ответственное лицо составляет авансовый отчет по использованию ГСМ в соответствии с полученными и использованными талонами, предъявленными путевыми листами по пройденному километражу и расчету расхода ГСМ по норме.</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Расхождений в полученных талонах, заправленному количеству и составленным авансовым отчетам не выявлено.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11. Внебюджетная деятельность.</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Внебюджетная предпринимательская деятельность Уставом учреждения не предусмотрена и фактически не ведется.</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12. Учет, списание и проведение инвентаризации материальных ценностей, определение её результатов и отражение их в учете.</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Приобретение материальных запасов, для обеспечения учебного процесса, производственной деятельности, развития материально-технической базы Учреждения осуществлялось  за счет средств бюджета. Денежные средства на приобретение материальных запасов использовались по целевому назначению.</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Списания расходных материалов на хозяйственные и учебные нужды без оправдательных документов за проверяемый период не установлено. Материальные ценности отпускались со склада по лимитно-заборным картам. Списание израсходованных материалов производилось по актам о списании материальных запасов формы 0504230.</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Сохранность основных средств и материальных ценностей в учреждении обеспечивается: заключены договора о материальной ответственности,   при участии работников бухгалтерии, осуществляется документальный контроль.</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t>Перед составлением годовой бухгалтерской отчетности, организации в обязательном порядке обязаны проводить инвентаризацию имущества и обязательств в полном объеме. Делается это с 1 октября по 31 декабря. Причем инвентаризаци</w:t>
      </w:r>
      <w:r w:rsidR="009E3E18">
        <w:rPr>
          <w:rFonts w:ascii="Times New Roman" w:hAnsi="Times New Roman" w:cs="Times New Roman"/>
          <w:color w:val="000000"/>
          <w:sz w:val="28"/>
          <w:szCs w:val="28"/>
          <w:shd w:val="clear" w:color="auto" w:fill="FFFFFF"/>
        </w:rPr>
        <w:t>я</w:t>
      </w:r>
      <w:r w:rsidRPr="00C14815">
        <w:rPr>
          <w:rFonts w:ascii="Times New Roman" w:hAnsi="Times New Roman" w:cs="Times New Roman"/>
          <w:color w:val="000000"/>
          <w:sz w:val="28"/>
          <w:szCs w:val="28"/>
          <w:shd w:val="clear" w:color="auto" w:fill="FFFFFF"/>
        </w:rPr>
        <w:t xml:space="preserve"> основных сре</w:t>
      </w:r>
      <w:proofErr w:type="gramStart"/>
      <w:r w:rsidRPr="00C14815">
        <w:rPr>
          <w:rFonts w:ascii="Times New Roman" w:hAnsi="Times New Roman" w:cs="Times New Roman"/>
          <w:color w:val="000000"/>
          <w:sz w:val="28"/>
          <w:szCs w:val="28"/>
          <w:shd w:val="clear" w:color="auto" w:fill="FFFFFF"/>
        </w:rPr>
        <w:t>дств пр</w:t>
      </w:r>
      <w:proofErr w:type="gramEnd"/>
      <w:r w:rsidRPr="00C14815">
        <w:rPr>
          <w:rFonts w:ascii="Times New Roman" w:hAnsi="Times New Roman" w:cs="Times New Roman"/>
          <w:color w:val="000000"/>
          <w:sz w:val="28"/>
          <w:szCs w:val="28"/>
          <w:shd w:val="clear" w:color="auto" w:fill="FFFFFF"/>
        </w:rPr>
        <w:t xml:space="preserve">оводится не реже одного раза в три года, библиотечных фондов – раз в пять лет. Конкретные сроки и периодичность закрепляется в учетной политике.  </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lastRenderedPageBreak/>
        <w:t xml:space="preserve">Инвентаризация в 2018 году проводилась в соответствии с приказом и.о. директора МКУ «СХО» В.И.Фурсова №109 от 12.11.2018 года. </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t xml:space="preserve">В 2019 году  инвентаризация проводилась в соответствии с приказом директора МКУ «СХО» О.А.Вельдяксовой №135/1 от 01.10.2019 года. </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t>Недостач и излишек не выявлено.</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sz w:val="28"/>
          <w:szCs w:val="28"/>
          <w:shd w:val="clear" w:color="auto" w:fill="FFFFFF"/>
        </w:rPr>
      </w:pPr>
      <w:r w:rsidRPr="00C14815">
        <w:rPr>
          <w:rFonts w:ascii="Times New Roman" w:hAnsi="Times New Roman" w:cs="Times New Roman"/>
          <w:color w:val="000000"/>
          <w:sz w:val="28"/>
          <w:szCs w:val="28"/>
          <w:shd w:val="clear" w:color="auto" w:fill="FFFFFF"/>
        </w:rPr>
        <w:t>По состоянию на 01.03.2018 года на балансе учреждения состояло на учете 10 (десять) единиц автотранспорта на сумму 7304,2 тыс. рублей, на момент проведения контрольного мероприятия на балансе учитывается 19 (девятнадцать) единиц техники на сумму 19559,4 тыс. рублей, в том числе наличие специальной техники, требующей лицензирования и спецдопусков работы на ней. Исходя их вышеизложенного, нагрузка на учетных работников по учету использования, обслуживания, приобретения и списания ГСМ увеличилась в два раза.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hAnsi="Times New Roman" w:cs="Times New Roman"/>
          <w:color w:val="000000"/>
          <w:sz w:val="28"/>
          <w:szCs w:val="28"/>
          <w:shd w:val="clear" w:color="auto" w:fill="FFFFFF"/>
        </w:rPr>
        <w:t xml:space="preserve"> </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13. Организация учета недвижимого и движимого имущества в проверяемом учреждении.</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Учет материальных средств организован в Учреждении в соответствии с Инструкцией по бюджетному учету, утвержденной Приказом Министерства Финансов РФ от 29.12.2012 года №148-н.</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По состоянию на 1 января 2019 года на балансе Учреждения числилось основных средств балансовой стоимостью на сумму 8873032,29 рублей, на 01.01.20 года – 21090396,77 рублей, на 01.05.2020г- 21272411,57 рублей.</w:t>
      </w:r>
    </w:p>
    <w:p w:rsidR="00C14815" w:rsidRPr="00C14815" w:rsidRDefault="00C14815" w:rsidP="00C14815">
      <w:pPr>
        <w:shd w:val="clear" w:color="auto" w:fill="FFFFFF"/>
        <w:spacing w:after="150" w:line="240" w:lineRule="auto"/>
        <w:ind w:firstLine="708"/>
        <w:jc w:val="both"/>
        <w:textAlignment w:val="baseline"/>
        <w:rPr>
          <w:rFonts w:ascii="Times New Roman" w:hAnsi="Times New Roman" w:cs="Times New Roman"/>
          <w:color w:val="000000" w:themeColor="text1"/>
          <w:sz w:val="28"/>
          <w:szCs w:val="28"/>
        </w:rPr>
      </w:pPr>
      <w:r w:rsidRPr="00C14815">
        <w:rPr>
          <w:rFonts w:ascii="Times New Roman" w:eastAsia="Times New Roman" w:hAnsi="Times New Roman" w:cs="Times New Roman"/>
          <w:color w:val="000000" w:themeColor="text1"/>
          <w:sz w:val="28"/>
          <w:szCs w:val="28"/>
          <w:lang w:eastAsia="ru-RU"/>
        </w:rPr>
        <w:t>На каждый объект основных средств заведены инвентарные карточки учета основных средств формы ОС-6 бюджет, ОС-8, ОС-9. Данные оборотных ведомостей по основным средствам соответствуют данным главной книги и баланса.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Амортизация на основные средства начислялась в соответствии с постановлением Правительства РФ от 01.01.2002 года №1  «О классификации основных средств, включаемых в амортизационные группы».</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Выборочной проверкой за весь проверяемый период установлено, что начисление амортизации на основные средства производилось в проверяемом периоде в соответствии с действующими нормативными документами.</w:t>
      </w:r>
    </w:p>
    <w:p w:rsidR="00C14815" w:rsidRPr="00C14815" w:rsidRDefault="00C14815" w:rsidP="00C14815">
      <w:pPr>
        <w:autoSpaceDE w:val="0"/>
        <w:autoSpaceDN w:val="0"/>
        <w:adjustRightInd w:val="0"/>
        <w:spacing w:line="240" w:lineRule="auto"/>
        <w:ind w:firstLine="709"/>
        <w:jc w:val="both"/>
        <w:rPr>
          <w:rFonts w:ascii="Times New Roman" w:hAnsi="Times New Roman" w:cs="Times New Roman"/>
          <w:sz w:val="28"/>
          <w:szCs w:val="28"/>
        </w:rPr>
      </w:pPr>
      <w:proofErr w:type="gramStart"/>
      <w:r w:rsidRPr="00C14815">
        <w:rPr>
          <w:rFonts w:ascii="Times New Roman" w:eastAsia="Times New Roman" w:hAnsi="Times New Roman" w:cs="Times New Roman"/>
          <w:color w:val="000000" w:themeColor="text1"/>
          <w:sz w:val="28"/>
          <w:szCs w:val="28"/>
          <w:lang w:eastAsia="ru-RU"/>
        </w:rPr>
        <w:t>Приобретение основных средств по смете расходов МКУ «СХО», не являющихся необходимым инвентарем для выполнения уставной деятельности (раздел 0113), а затем переданных в пользование Администрации МО Куркинский район (Акт приема передачи от 27.02.2020г, постановление Администрации МО Куркинский район №116 от 27.02.2020г) на сумму 908692,36 рублей влечет за собой искажение отчетности по реальным расходам  Администрации и занижение суммы кассовых расходов</w:t>
      </w:r>
      <w:proofErr w:type="gramEnd"/>
      <w:r w:rsidRPr="00C14815">
        <w:rPr>
          <w:rFonts w:ascii="Times New Roman" w:eastAsia="Times New Roman" w:hAnsi="Times New Roman" w:cs="Times New Roman"/>
          <w:color w:val="000000" w:themeColor="text1"/>
          <w:sz w:val="28"/>
          <w:szCs w:val="28"/>
          <w:lang w:eastAsia="ru-RU"/>
        </w:rPr>
        <w:t xml:space="preserve"> </w:t>
      </w:r>
      <w:proofErr w:type="gramStart"/>
      <w:r w:rsidRPr="00C14815">
        <w:rPr>
          <w:rFonts w:ascii="Times New Roman" w:eastAsia="Times New Roman" w:hAnsi="Times New Roman" w:cs="Times New Roman"/>
          <w:color w:val="000000" w:themeColor="text1"/>
          <w:sz w:val="28"/>
          <w:szCs w:val="28"/>
          <w:lang w:eastAsia="ru-RU"/>
        </w:rPr>
        <w:lastRenderedPageBreak/>
        <w:t xml:space="preserve">при подсчете соблюдения норматива на содержание органов местного самоуправления МО Куркинский район, утвержденного постановлением Правительства Тульской области </w:t>
      </w:r>
      <w:r w:rsidRPr="00C14815">
        <w:rPr>
          <w:rFonts w:ascii="Times New Roman" w:hAnsi="Times New Roman" w:cs="Times New Roman"/>
          <w:sz w:val="28"/>
          <w:szCs w:val="28"/>
        </w:rPr>
        <w:t>от 14.11.2017 № 538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proofErr w:type="gramEnd"/>
    </w:p>
    <w:p w:rsidR="00C14815" w:rsidRPr="00C14815" w:rsidRDefault="00C14815" w:rsidP="00C14815">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C14815">
        <w:rPr>
          <w:rFonts w:ascii="Times New Roman" w:hAnsi="Times New Roman" w:cs="Times New Roman"/>
          <w:sz w:val="28"/>
          <w:szCs w:val="28"/>
        </w:rPr>
        <w:t xml:space="preserve">Приобретение материальных ценностей, </w:t>
      </w:r>
      <w:r w:rsidRPr="00C14815">
        <w:rPr>
          <w:rFonts w:ascii="Times New Roman" w:eastAsia="Times New Roman" w:hAnsi="Times New Roman" w:cs="Times New Roman"/>
          <w:color w:val="000000" w:themeColor="text1"/>
          <w:sz w:val="28"/>
          <w:szCs w:val="28"/>
          <w:lang w:eastAsia="ru-RU"/>
        </w:rPr>
        <w:t>не являющихся необходимым инвентарем для выполнения уставной деятельности, создает дополнительную нагрузку на счетных работников по проведению процедуры закупок товаров.</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14. Обоснованность проведенных затрат, связанных с текущей деятельностью и затрат капитального характера.</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Проверкой обоснованности произведенных затрат, связанных с текущей деятельностью, проведенной за 2017, 2018 годы и 2019 годы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Расчеты за оказываемые услуги и поставляемые товарно-материальные ценности в проверяемом периоде осуществлялись в соответствии с заключенными договорами.</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Оплата и потребление топливно-энергетических ресурсов, коммунальных услуг и </w:t>
      </w:r>
      <w:hyperlink r:id="rId15" w:tooltip="Услуги связи" w:history="1">
        <w:r w:rsidRPr="00C14815">
          <w:rPr>
            <w:rFonts w:ascii="Times New Roman" w:eastAsia="Times New Roman" w:hAnsi="Times New Roman" w:cs="Times New Roman"/>
            <w:color w:val="000000" w:themeColor="text1"/>
            <w:sz w:val="28"/>
            <w:szCs w:val="28"/>
            <w:lang w:eastAsia="ru-RU"/>
          </w:rPr>
          <w:t>услуг связи</w:t>
        </w:r>
      </w:hyperlink>
      <w:r w:rsidRPr="00C14815">
        <w:rPr>
          <w:rFonts w:ascii="Times New Roman" w:eastAsia="Times New Roman" w:hAnsi="Times New Roman" w:cs="Times New Roman"/>
          <w:color w:val="000000" w:themeColor="text1"/>
          <w:sz w:val="28"/>
          <w:szCs w:val="28"/>
          <w:lang w:eastAsia="ru-RU"/>
        </w:rPr>
        <w:t> за счет средств бюджета в проверяемом периоде осуществлялась в пределах утвержденных лимитов бюджетных обязательств.</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Произведенные расходы подтверждены оправдательными документами, договорами на оказание услуг и актами выполненных работ, нарушений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15. Достоверность бюджетного учета и отчетности.</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Бухгалтерский учет поступления и расходования средств на содержание Учреждения ведется в соответствии с Федеральным законом от 06.12.2011 года № 42-ФЗ "О бухгалтерском учете ", Инструкцией по бюджетному учету, утвержденной приказом Министерства финансов Российской Федерации от 30.12.2008 года №148-Н.</w:t>
      </w:r>
    </w:p>
    <w:p w:rsidR="00C14815" w:rsidRPr="00C14815" w:rsidRDefault="00C14815" w:rsidP="00C1481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Данные оборотов и остатков журналов операций тождественно равны оборотам и остаткам по счетам, отраженным в Главной книге.</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lastRenderedPageBreak/>
        <w:t>Государственная отчетность в вышестоящие организации представлялась по формам, утвержденным Министерством финансов Российской Федерации, своевременно и в установленном объеме.</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Проверкой достоверности отчетных </w:t>
      </w:r>
      <w:proofErr w:type="gramStart"/>
      <w:r w:rsidRPr="00C14815">
        <w:rPr>
          <w:rFonts w:ascii="Times New Roman" w:eastAsia="Times New Roman" w:hAnsi="Times New Roman" w:cs="Times New Roman"/>
          <w:color w:val="000000" w:themeColor="text1"/>
          <w:sz w:val="28"/>
          <w:szCs w:val="28"/>
          <w:lang w:eastAsia="ru-RU"/>
        </w:rPr>
        <w:t>данных</w:t>
      </w:r>
      <w:proofErr w:type="gramEnd"/>
      <w:r w:rsidRPr="00C14815">
        <w:rPr>
          <w:rFonts w:ascii="Times New Roman" w:eastAsia="Times New Roman" w:hAnsi="Times New Roman" w:cs="Times New Roman"/>
          <w:color w:val="000000" w:themeColor="text1"/>
          <w:sz w:val="28"/>
          <w:szCs w:val="28"/>
          <w:lang w:eastAsia="ru-RU"/>
        </w:rPr>
        <w:t xml:space="preserve"> по использованию средств бюджета  проведенной сплошным путем   расхождений не установлено.</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Сохранность первичных документов, учетных регистров и других бухгалтерских документов обеспечена.</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C14815">
        <w:rPr>
          <w:rFonts w:ascii="Times New Roman" w:eastAsia="Times New Roman" w:hAnsi="Times New Roman" w:cs="Times New Roman"/>
          <w:b/>
          <w:bCs/>
          <w:color w:val="000000" w:themeColor="text1"/>
          <w:sz w:val="28"/>
          <w:szCs w:val="28"/>
          <w:bdr w:val="none" w:sz="0" w:space="0" w:color="auto" w:frame="1"/>
          <w:lang w:eastAsia="ru-RU"/>
        </w:rPr>
        <w:t>Заключение:</w:t>
      </w:r>
    </w:p>
    <w:p w:rsidR="00C14815" w:rsidRPr="00C14815" w:rsidRDefault="00C14815" w:rsidP="00C14815">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По результатам проверки   финансово-хозяйственной деятельности МКУ «Служба хозяйственного обслуживания»  Куркинского района предлагается:</w:t>
      </w:r>
    </w:p>
    <w:p w:rsidR="00C14815" w:rsidRPr="00C14815" w:rsidRDefault="00C14815" w:rsidP="00C1481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C14815">
        <w:rPr>
          <w:rFonts w:ascii="Times New Roman" w:eastAsia="Times New Roman" w:hAnsi="Times New Roman" w:cs="Times New Roman"/>
          <w:color w:val="000000" w:themeColor="text1"/>
          <w:sz w:val="28"/>
          <w:szCs w:val="28"/>
          <w:lang w:eastAsia="ru-RU"/>
        </w:rPr>
        <w:t>1. Н</w:t>
      </w:r>
      <w:r w:rsidRPr="00C14815">
        <w:rPr>
          <w:rFonts w:ascii="Times New Roman" w:eastAsia="Times New Roman" w:hAnsi="Times New Roman" w:cs="Times New Roman"/>
          <w:sz w:val="28"/>
          <w:szCs w:val="28"/>
          <w:shd w:val="clear" w:color="auto" w:fill="FFFFFF"/>
          <w:lang w:eastAsia="ru-RU"/>
        </w:rPr>
        <w:t xml:space="preserve">арушен порядок учета талонов на ГСМ, установленный пунктами 169 и 170 Инструкции к Единому плану счетов № 157н. </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sidRPr="00C14815">
        <w:rPr>
          <w:rFonts w:ascii="Times New Roman" w:eastAsia="Times New Roman" w:hAnsi="Times New Roman" w:cs="Times New Roman"/>
          <w:color w:val="000000" w:themeColor="text1"/>
          <w:sz w:val="28"/>
          <w:szCs w:val="28"/>
          <w:lang w:eastAsia="ru-RU"/>
        </w:rPr>
        <w:tab/>
        <w:t xml:space="preserve">2. </w:t>
      </w:r>
      <w:r w:rsidRPr="00C14815">
        <w:rPr>
          <w:rFonts w:ascii="Times New Roman" w:hAnsi="Times New Roman" w:cs="Times New Roman"/>
          <w:sz w:val="28"/>
          <w:szCs w:val="28"/>
        </w:rPr>
        <w:t xml:space="preserve">В нарушение пункта 17 решения Собрания представителей Муниципального образования Куркинский район от </w:t>
      </w:r>
      <w:r w:rsidRPr="00C14815">
        <w:rPr>
          <w:rFonts w:ascii="Times New Roman" w:eastAsia="Times New Roman" w:hAnsi="Times New Roman" w:cs="Times New Roman"/>
          <w:color w:val="010101"/>
          <w:sz w:val="28"/>
          <w:szCs w:val="28"/>
          <w:lang w:eastAsia="ru-RU"/>
        </w:rPr>
        <w:t>25.12.2019г №9-2.</w:t>
      </w:r>
      <w:r w:rsidRPr="00C14815">
        <w:rPr>
          <w:rFonts w:ascii="Times New Roman" w:hAnsi="Times New Roman" w:cs="Times New Roman"/>
          <w:sz w:val="28"/>
          <w:szCs w:val="28"/>
        </w:rPr>
        <w:t xml:space="preserve"> </w:t>
      </w:r>
      <w:proofErr w:type="gramStart"/>
      <w:r w:rsidRPr="00C14815">
        <w:rPr>
          <w:rFonts w:ascii="Times New Roman" w:hAnsi="Times New Roman" w:cs="Times New Roman"/>
          <w:sz w:val="28"/>
          <w:szCs w:val="28"/>
        </w:rPr>
        <w:t xml:space="preserve">«О бюджете муниципального образования Куркинский район на 2020 год и на плановый период 2021 и 2022 годов» «Администрация муниципального образования Куркинский район </w:t>
      </w:r>
      <w:r w:rsidRPr="00C14815">
        <w:rPr>
          <w:rFonts w:ascii="Times New Roman" w:eastAsia="Calibri" w:hAnsi="Times New Roman" w:cs="Times New Roman"/>
          <w:sz w:val="28"/>
          <w:szCs w:val="28"/>
        </w:rPr>
        <w:t xml:space="preserve">не вправе принимать решения, приводящие к увеличению в 2020 году численности муниципальных служащих, работников, замещающих должности, не отнесенные к должностям муниципальной службы, а также работников казенных учреждений района, являющихся получателями бюджетных средств», </w:t>
      </w:r>
      <w:r w:rsidRPr="00C14815">
        <w:rPr>
          <w:rFonts w:ascii="Times New Roman" w:hAnsi="Times New Roman" w:cs="Times New Roman"/>
          <w:sz w:val="28"/>
          <w:szCs w:val="28"/>
        </w:rPr>
        <w:t>принято решение об увеличении штатной численности</w:t>
      </w:r>
      <w:proofErr w:type="gramEnd"/>
      <w:r w:rsidRPr="00C14815">
        <w:rPr>
          <w:rFonts w:ascii="Times New Roman" w:hAnsi="Times New Roman" w:cs="Times New Roman"/>
          <w:sz w:val="28"/>
          <w:szCs w:val="28"/>
        </w:rPr>
        <w:t xml:space="preserve"> на 7,0 единицы. </w:t>
      </w:r>
    </w:p>
    <w:p w:rsidR="00C14815" w:rsidRPr="00C14815" w:rsidRDefault="00C14815" w:rsidP="00C14815">
      <w:pPr>
        <w:tabs>
          <w:tab w:val="left" w:pos="0"/>
          <w:tab w:val="left" w:pos="567"/>
          <w:tab w:val="left" w:pos="851"/>
          <w:tab w:val="left" w:pos="1276"/>
        </w:tabs>
        <w:suppressAutoHyphens/>
        <w:spacing w:line="240" w:lineRule="auto"/>
        <w:jc w:val="both"/>
        <w:rPr>
          <w:rFonts w:ascii="Times New Roman" w:hAnsi="Times New Roman" w:cs="Times New Roman"/>
          <w:sz w:val="28"/>
          <w:szCs w:val="28"/>
        </w:rPr>
      </w:pPr>
      <w:r w:rsidRPr="00C14815">
        <w:rPr>
          <w:rFonts w:ascii="Times New Roman" w:hAnsi="Times New Roman" w:cs="Times New Roman"/>
          <w:sz w:val="28"/>
          <w:szCs w:val="28"/>
        </w:rPr>
        <w:tab/>
        <w:t>Увеличение штатной численности привело к росту годового фонда оплаты труда в 2020 году около 1250,7 тыс. рублей, а с учетом выплаты страховых взносов более 1,6 млн. рублей.</w:t>
      </w:r>
    </w:p>
    <w:p w:rsidR="00C14815" w:rsidRPr="00C14815" w:rsidRDefault="00C14815" w:rsidP="00C14815">
      <w:pPr>
        <w:shd w:val="clear" w:color="auto" w:fill="FFFFFF"/>
        <w:spacing w:after="15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3. Карточки-справки на работников учреждения заполнены не полностью, отсутствуют отметки об изменениях в заработной плате, информация об отпусках и видах постоянных удержаний. Отсутствует начисление заработной платы по видам постоянных выплат, надбавок и доплат.</w:t>
      </w:r>
    </w:p>
    <w:p w:rsidR="00C14815" w:rsidRPr="00C14815" w:rsidRDefault="00C14815" w:rsidP="00C14815">
      <w:pPr>
        <w:autoSpaceDE w:val="0"/>
        <w:autoSpaceDN w:val="0"/>
        <w:adjustRightInd w:val="0"/>
        <w:spacing w:line="240" w:lineRule="auto"/>
        <w:ind w:firstLine="709"/>
        <w:jc w:val="both"/>
        <w:rPr>
          <w:rFonts w:ascii="Times New Roman" w:hAnsi="Times New Roman" w:cs="Times New Roman"/>
          <w:sz w:val="28"/>
          <w:szCs w:val="28"/>
        </w:rPr>
      </w:pPr>
      <w:r w:rsidRPr="00C14815">
        <w:rPr>
          <w:rFonts w:ascii="Times New Roman" w:eastAsia="Times New Roman" w:hAnsi="Times New Roman" w:cs="Times New Roman"/>
          <w:color w:val="000000" w:themeColor="text1"/>
          <w:sz w:val="28"/>
          <w:szCs w:val="28"/>
          <w:lang w:eastAsia="ru-RU"/>
        </w:rPr>
        <w:t xml:space="preserve">4. </w:t>
      </w:r>
      <w:proofErr w:type="gramStart"/>
      <w:r w:rsidRPr="00C14815">
        <w:rPr>
          <w:rFonts w:ascii="Times New Roman" w:eastAsia="Times New Roman" w:hAnsi="Times New Roman" w:cs="Times New Roman"/>
          <w:color w:val="000000" w:themeColor="text1"/>
          <w:sz w:val="28"/>
          <w:szCs w:val="28"/>
          <w:lang w:eastAsia="ru-RU"/>
        </w:rPr>
        <w:t xml:space="preserve">Приобретение основных средств по смете расходов МКУ «СХО», не являющихся необходимым инвентарем для выполнения уставной деятельности (раздел 0113), а затем переданных в пользование Администрации МО Куркинский район (Акт приема передачи от 27.02.2020г, постановление Администрации МО Куркинский район №116 от 27.02.2020г) на сумму 908692,36 рублей влечет за собой искажение отчетности по </w:t>
      </w:r>
      <w:r w:rsidRPr="00C14815">
        <w:rPr>
          <w:rFonts w:ascii="Times New Roman" w:eastAsia="Times New Roman" w:hAnsi="Times New Roman" w:cs="Times New Roman"/>
          <w:color w:val="000000" w:themeColor="text1"/>
          <w:sz w:val="28"/>
          <w:szCs w:val="28"/>
          <w:lang w:eastAsia="ru-RU"/>
        </w:rPr>
        <w:lastRenderedPageBreak/>
        <w:t>реальным расходам  Администрации и занижение суммы кассовых расходов</w:t>
      </w:r>
      <w:proofErr w:type="gramEnd"/>
      <w:r w:rsidRPr="00C14815">
        <w:rPr>
          <w:rFonts w:ascii="Times New Roman" w:eastAsia="Times New Roman" w:hAnsi="Times New Roman" w:cs="Times New Roman"/>
          <w:color w:val="000000" w:themeColor="text1"/>
          <w:sz w:val="28"/>
          <w:szCs w:val="28"/>
          <w:lang w:eastAsia="ru-RU"/>
        </w:rPr>
        <w:t xml:space="preserve"> </w:t>
      </w:r>
      <w:proofErr w:type="gramStart"/>
      <w:r w:rsidRPr="00C14815">
        <w:rPr>
          <w:rFonts w:ascii="Times New Roman" w:eastAsia="Times New Roman" w:hAnsi="Times New Roman" w:cs="Times New Roman"/>
          <w:color w:val="000000" w:themeColor="text1"/>
          <w:sz w:val="28"/>
          <w:szCs w:val="28"/>
          <w:lang w:eastAsia="ru-RU"/>
        </w:rPr>
        <w:t xml:space="preserve">при подсчете соблюдения норматива на содержание органов местного самоуправления МО Куркинский район, утвержденного постановлением Правительства Тульской области </w:t>
      </w:r>
      <w:r w:rsidRPr="00C14815">
        <w:rPr>
          <w:rFonts w:ascii="Times New Roman" w:hAnsi="Times New Roman" w:cs="Times New Roman"/>
          <w:sz w:val="28"/>
          <w:szCs w:val="28"/>
        </w:rPr>
        <w:t>от 14.11.2017 № 538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proofErr w:type="gramEnd"/>
    </w:p>
    <w:p w:rsidR="00C14815" w:rsidRDefault="00C14815" w:rsidP="00C14815">
      <w:pPr>
        <w:pStyle w:val="s3"/>
        <w:spacing w:after="0"/>
        <w:ind w:firstLine="360"/>
        <w:jc w:val="both"/>
        <w:rPr>
          <w:color w:val="000000" w:themeColor="text1"/>
          <w:sz w:val="28"/>
          <w:szCs w:val="28"/>
        </w:rPr>
      </w:pPr>
      <w:r w:rsidRPr="00C14815">
        <w:rPr>
          <w:bCs/>
          <w:color w:val="000000"/>
          <w:sz w:val="28"/>
          <w:szCs w:val="28"/>
        </w:rPr>
        <w:t xml:space="preserve">   5. В нарушение вышеуказанных требований сметы за  2018 год представлены в первоначально утвержденных объемах, т.е. без внесения в них изменений в течение финансового года по итогам внесения изменений в бюджет МО Куркинский район решением Собрания представителей МО Куркинский район.</w:t>
      </w:r>
      <w:r w:rsidRPr="00C14815">
        <w:rPr>
          <w:color w:val="000000" w:themeColor="text1"/>
          <w:sz w:val="28"/>
          <w:szCs w:val="28"/>
        </w:rPr>
        <w:t xml:space="preserve"> За 2019 год все изменения внесены с учетом законодательных требований.</w:t>
      </w:r>
    </w:p>
    <w:p w:rsidR="00C14815" w:rsidRDefault="00C14815" w:rsidP="00C14815">
      <w:pPr>
        <w:pStyle w:val="s3"/>
        <w:spacing w:after="0"/>
        <w:ind w:firstLine="360"/>
        <w:jc w:val="both"/>
        <w:rPr>
          <w:color w:val="000000" w:themeColor="text1"/>
          <w:sz w:val="28"/>
          <w:szCs w:val="28"/>
        </w:rPr>
      </w:pPr>
    </w:p>
    <w:p w:rsidR="00C14815" w:rsidRPr="00C14815" w:rsidRDefault="00C14815" w:rsidP="00C14815">
      <w:pPr>
        <w:pStyle w:val="s3"/>
        <w:spacing w:after="0"/>
        <w:ind w:firstLine="360"/>
        <w:jc w:val="both"/>
        <w:rPr>
          <w:sz w:val="28"/>
          <w:szCs w:val="28"/>
        </w:rPr>
      </w:pP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 xml:space="preserve">Председатель </w:t>
      </w:r>
      <w:proofErr w:type="gramStart"/>
      <w:r w:rsidRPr="00C14815">
        <w:rPr>
          <w:rFonts w:ascii="Times New Roman" w:eastAsia="Times New Roman" w:hAnsi="Times New Roman" w:cs="Times New Roman"/>
          <w:color w:val="000000" w:themeColor="text1"/>
          <w:sz w:val="28"/>
          <w:szCs w:val="28"/>
          <w:lang w:eastAsia="ru-RU"/>
        </w:rPr>
        <w:t>контрольно-ревизионной</w:t>
      </w:r>
      <w:proofErr w:type="gramEnd"/>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r w:rsidRPr="00C14815">
        <w:rPr>
          <w:rFonts w:ascii="Times New Roman" w:eastAsia="Times New Roman" w:hAnsi="Times New Roman" w:cs="Times New Roman"/>
          <w:color w:val="000000" w:themeColor="text1"/>
          <w:sz w:val="28"/>
          <w:szCs w:val="28"/>
          <w:lang w:eastAsia="ru-RU"/>
        </w:rPr>
        <w:t>комиссии МО Куркинский район                                                Е.В.</w:t>
      </w:r>
      <w:proofErr w:type="gramStart"/>
      <w:r w:rsidRPr="00C14815">
        <w:rPr>
          <w:rFonts w:ascii="Times New Roman" w:eastAsia="Times New Roman" w:hAnsi="Times New Roman" w:cs="Times New Roman"/>
          <w:color w:val="000000" w:themeColor="text1"/>
          <w:sz w:val="28"/>
          <w:szCs w:val="28"/>
          <w:lang w:eastAsia="ru-RU"/>
        </w:rPr>
        <w:t>Степина</w:t>
      </w:r>
      <w:proofErr w:type="gramEnd"/>
    </w:p>
    <w:p w:rsidR="00C14815" w:rsidRPr="00C14815" w:rsidRDefault="00C14815" w:rsidP="00C14815">
      <w:pPr>
        <w:shd w:val="clear" w:color="auto" w:fill="FFFFFF"/>
        <w:spacing w:after="150" w:line="240" w:lineRule="auto"/>
        <w:jc w:val="both"/>
        <w:textAlignment w:val="baseline"/>
        <w:rPr>
          <w:rFonts w:ascii="Times New Roman" w:eastAsia="Times New Roman" w:hAnsi="Times New Roman" w:cs="Times New Roman"/>
          <w:color w:val="000000" w:themeColor="text1"/>
          <w:sz w:val="28"/>
          <w:szCs w:val="28"/>
          <w:lang w:eastAsia="ru-RU"/>
        </w:rPr>
      </w:pPr>
    </w:p>
    <w:p w:rsidR="00C14815" w:rsidRPr="00C14815" w:rsidRDefault="00C14815" w:rsidP="00C14815">
      <w:pPr>
        <w:shd w:val="clear" w:color="auto" w:fill="FFFFFF"/>
        <w:spacing w:after="150" w:line="240" w:lineRule="auto"/>
        <w:jc w:val="both"/>
        <w:textAlignment w:val="baseline"/>
        <w:rPr>
          <w:rFonts w:ascii="Times New Roman" w:hAnsi="Times New Roman" w:cs="Times New Roman"/>
          <w:color w:val="000000" w:themeColor="text1"/>
          <w:sz w:val="28"/>
          <w:szCs w:val="28"/>
        </w:rPr>
      </w:pPr>
      <w:r w:rsidRPr="00C14815">
        <w:rPr>
          <w:rFonts w:ascii="Times New Roman" w:hAnsi="Times New Roman" w:cs="Times New Roman"/>
          <w:color w:val="000000" w:themeColor="text1"/>
          <w:sz w:val="28"/>
          <w:szCs w:val="28"/>
        </w:rPr>
        <w:t xml:space="preserve">Директор </w:t>
      </w:r>
      <w:r w:rsidRPr="00C14815">
        <w:rPr>
          <w:rFonts w:ascii="Times New Roman" w:eastAsia="Times New Roman" w:hAnsi="Times New Roman" w:cs="Times New Roman"/>
          <w:color w:val="000000" w:themeColor="text1"/>
          <w:sz w:val="28"/>
          <w:szCs w:val="28"/>
          <w:lang w:eastAsia="ru-RU"/>
        </w:rPr>
        <w:t>МКУ «СХО»                                                        О.А.Вельдяксова</w:t>
      </w:r>
    </w:p>
    <w:p w:rsidR="00C14815" w:rsidRPr="00C14815" w:rsidRDefault="00C14815" w:rsidP="00C14815">
      <w:pPr>
        <w:spacing w:line="240" w:lineRule="auto"/>
        <w:jc w:val="both"/>
        <w:rPr>
          <w:rFonts w:ascii="Times New Roman" w:hAnsi="Times New Roman" w:cs="Times New Roman"/>
          <w:sz w:val="28"/>
          <w:szCs w:val="28"/>
        </w:rPr>
      </w:pPr>
    </w:p>
    <w:p w:rsidR="00C14815" w:rsidRPr="00C14815" w:rsidRDefault="00C14815" w:rsidP="00C14815">
      <w:pPr>
        <w:spacing w:line="240" w:lineRule="auto"/>
        <w:jc w:val="both"/>
        <w:rPr>
          <w:rFonts w:ascii="Times New Roman" w:hAnsi="Times New Roman" w:cs="Times New Roman"/>
          <w:sz w:val="28"/>
          <w:szCs w:val="28"/>
        </w:rPr>
      </w:pPr>
      <w:r w:rsidRPr="00C14815">
        <w:rPr>
          <w:rFonts w:ascii="Times New Roman" w:hAnsi="Times New Roman" w:cs="Times New Roman"/>
          <w:sz w:val="28"/>
          <w:szCs w:val="28"/>
        </w:rPr>
        <w:t xml:space="preserve">Гл бухгалтер  МКУ «СХО»                                                        Я.А.Абашина                       </w:t>
      </w:r>
    </w:p>
    <w:p w:rsidR="00C14815" w:rsidRPr="00C14815" w:rsidRDefault="00C14815" w:rsidP="00C14815">
      <w:pPr>
        <w:spacing w:line="240" w:lineRule="auto"/>
        <w:rPr>
          <w:rFonts w:ascii="Times New Roman" w:hAnsi="Times New Roman" w:cs="Times New Roman"/>
          <w:sz w:val="28"/>
          <w:szCs w:val="28"/>
        </w:rPr>
      </w:pPr>
    </w:p>
    <w:p w:rsidR="00765A61" w:rsidRPr="00C14815" w:rsidRDefault="00765A61">
      <w:pPr>
        <w:rPr>
          <w:rFonts w:ascii="Times New Roman" w:hAnsi="Times New Roman" w:cs="Times New Roman"/>
          <w:sz w:val="28"/>
          <w:szCs w:val="28"/>
        </w:rPr>
      </w:pPr>
    </w:p>
    <w:sectPr w:rsidR="00765A61" w:rsidRPr="00C14815" w:rsidSect="00AF3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A19F7"/>
    <w:multiLevelType w:val="multilevel"/>
    <w:tmpl w:val="F9D63A86"/>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77280D3A"/>
    <w:multiLevelType w:val="hybridMultilevel"/>
    <w:tmpl w:val="05F286AA"/>
    <w:lvl w:ilvl="0" w:tplc="9BD6C65C">
      <w:start w:val="3"/>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815"/>
    <w:rsid w:val="00054BA8"/>
    <w:rsid w:val="00687669"/>
    <w:rsid w:val="00765A61"/>
    <w:rsid w:val="009E3E18"/>
    <w:rsid w:val="00B801F8"/>
    <w:rsid w:val="00C14815"/>
    <w:rsid w:val="00D92A6C"/>
    <w:rsid w:val="00E93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14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14815"/>
    <w:pPr>
      <w:ind w:left="720"/>
      <w:contextualSpacing/>
    </w:pPr>
  </w:style>
  <w:style w:type="table" w:styleId="a4">
    <w:name w:val="Table Grid"/>
    <w:basedOn w:val="a1"/>
    <w:uiPriority w:val="59"/>
    <w:rsid w:val="00C14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7835/" TargetMode="External"/><Relationship Id="rId13" Type="http://schemas.openxmlformats.org/officeDocument/2006/relationships/hyperlink" Target="http://pandia.ru/text/category/oplata_truda/" TargetMode="External"/><Relationship Id="rId3" Type="http://schemas.openxmlformats.org/officeDocument/2006/relationships/settings" Target="settings.xml"/><Relationship Id="rId7" Type="http://schemas.openxmlformats.org/officeDocument/2006/relationships/hyperlink" Target="http://pandia.ru/text/category/deyatelmznostmz_mou/" TargetMode="External"/><Relationship Id="rId12" Type="http://schemas.openxmlformats.org/officeDocument/2006/relationships/hyperlink" Target="http://pandia.ru/text/category/materialmznaya_otvetstvennostm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ndia.ru/text/category/pravovie_akti/" TargetMode="External"/><Relationship Id="rId11" Type="http://schemas.openxmlformats.org/officeDocument/2006/relationships/hyperlink" Target="http://pandia.ru/text/category/vipolnenie_rabot/" TargetMode="External"/><Relationship Id="rId5" Type="http://schemas.openxmlformats.org/officeDocument/2006/relationships/hyperlink" Target="http://www.pandia.ru/text/category/29_iyunya/" TargetMode="External"/><Relationship Id="rId15" Type="http://schemas.openxmlformats.org/officeDocument/2006/relationships/hyperlink" Target="http://pandia.ru/text/category/uslugi_svyazi/" TargetMode="External"/><Relationship Id="rId10" Type="http://schemas.openxmlformats.org/officeDocument/2006/relationships/hyperlink" Target="http://pandia.ru/text/category/zakoni_v_rossii/" TargetMode="External"/><Relationship Id="rId4" Type="http://schemas.openxmlformats.org/officeDocument/2006/relationships/webSettings" Target="webSettings.xml"/><Relationship Id="rId9" Type="http://schemas.openxmlformats.org/officeDocument/2006/relationships/hyperlink" Target="http://interpal.ru/" TargetMode="External"/><Relationship Id="rId14" Type="http://schemas.openxmlformats.org/officeDocument/2006/relationships/hyperlink" Target="http://www.pandia.ru/text/category/vzn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4990</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2020-08-20T08:43:00Z</cp:lastPrinted>
  <dcterms:created xsi:type="dcterms:W3CDTF">2020-08-05T08:07:00Z</dcterms:created>
  <dcterms:modified xsi:type="dcterms:W3CDTF">2020-08-20T08:43:00Z</dcterms:modified>
</cp:coreProperties>
</file>