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6" w:type="pct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834"/>
      </w:tblGrid>
      <w:tr w:rsidR="004C3B21" w:rsidTr="003F125A">
        <w:trPr>
          <w:trHeight w:val="132"/>
        </w:trPr>
        <w:tc>
          <w:tcPr>
            <w:tcW w:w="5000" w:type="pct"/>
            <w:shd w:val="clear" w:color="auto" w:fill="FFFFFF"/>
            <w:hideMark/>
          </w:tcPr>
          <w:p w:rsidR="004C3B21" w:rsidRPr="00045CA2" w:rsidRDefault="002B08E7" w:rsidP="00C33AB6">
            <w:pPr>
              <w:spacing w:line="240" w:lineRule="auto"/>
              <w:ind w:right="3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4C3B2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="004C3B21" w:rsidRPr="004C3B21">
              <w:rPr>
                <w:rFonts w:ascii="Times New Roman" w:eastAsia="Times New Roman" w:hAnsi="Times New Roman" w:cs="Times New Roman"/>
                <w:color w:val="000000"/>
                <w:kern w:val="36"/>
                <w:sz w:val="36"/>
                <w:szCs w:val="36"/>
                <w:lang w:eastAsia="ru-RU"/>
              </w:rPr>
              <w:t xml:space="preserve">                                   </w:t>
            </w:r>
            <w:proofErr w:type="gramStart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  <w:r w:rsidR="00045CA2" w:rsidRPr="00045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 К Л Ю Ч Е Н И Е                                     </w:t>
            </w:r>
          </w:p>
          <w:p w:rsidR="004C3B21" w:rsidRPr="00045CA2" w:rsidRDefault="00045CA2" w:rsidP="00C33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КОНТРОЛЬНО-РЕВИЗИОННОЙ КОМИССИИ </w:t>
            </w:r>
          </w:p>
          <w:p w:rsidR="004C3B21" w:rsidRPr="00045CA2" w:rsidRDefault="00045CA2" w:rsidP="00C33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КУРКИНСКИЙ РАЙОН </w:t>
            </w:r>
          </w:p>
          <w:p w:rsidR="00D611A3" w:rsidRDefault="00045CA2" w:rsidP="00C33A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МО КУРКИНСКИЙ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B21" w:rsidRDefault="00045CA2" w:rsidP="00C33AB6">
            <w:pPr>
              <w:tabs>
                <w:tab w:val="left" w:pos="878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   ПОЛУГОДИЕ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C3AF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045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4C3B21" w:rsidRDefault="004C3B21" w:rsidP="00C33A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Контрольно-ревизионной комиссии на исполнение бюджета муниципального образования Куркинский район за I полугодие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подготовлено в соответствие требованиям Бюджетного Кодекса Российской Федерации, Положения о бюджетном процессе в муниципальном образовании Куркинский район, Положения о контрольно-ревизионной комиссии муниципального образования Куркинский район.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 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В составе отчета об исполнении бюджета муниципального образования Куркинский район за I полугодие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(далее по тексту – Отчет) имеется: Отчет на 01.07.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; постановление администрации муниципального образования Куркинский район от 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1032A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.0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 № </w:t>
            </w:r>
            <w:r w:rsidR="001032A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371</w:t>
            </w:r>
            <w:r w:rsidR="0091661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«Об утверждении отчета об исполнении бюджета муниципального образования Куркинский район за I полугодие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D20ED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».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При подготовке заключения проведен анализ фактического исполнения бюджета муниципального образования Куркинский район (далее по тексту - Бюджет) по отношению к годовым бюджетным назначениям, утвержденным решением    Собрания    представителей    муниципального     образования Куркинский район от </w:t>
            </w:r>
            <w:r w:rsidR="00CB7E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17.06.2020г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№ </w:t>
            </w:r>
            <w:r w:rsidR="00CB7E0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11-5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ОБЩАЯ ХАРАКТЕРИСТИКА ОТЧЕТА ОБ ИСПОЛНЕНИИ БЮДЖЕТА МУНИЦИПАЛЬНОГО ОБРАЗОВАНИЯ КУРКИНСКИЙ РАЙОН ЗА  ПОЛУГОДИЕ </w:t>
            </w:r>
            <w:r w:rsidR="00AC3AF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 ГОДА</w:t>
            </w:r>
          </w:p>
          <w:p w:rsidR="00AB7E3A" w:rsidRDefault="00A37725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Решением Собрания 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представителей от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25.12.2019г №9-2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«О бюджете муниципального образования 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Куркинский район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 20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годов» (далее по тексту - Решение) утверждены основные характеристики бюджета на 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год: по доходам в </w:t>
            </w:r>
            <w:r w:rsidR="00AB7E3A" w:rsidRP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сумме </w:t>
            </w:r>
            <w:r w:rsidR="00AB7E3A">
              <w:rPr>
                <w:rFonts w:ascii="Times New Roman" w:hAnsi="Times New Roman" w:cs="Times New Roman"/>
                <w:sz w:val="28"/>
                <w:szCs w:val="28"/>
              </w:rPr>
              <w:t>348670,5</w:t>
            </w:r>
            <w:r w:rsidR="00AB7E3A">
              <w:t xml:space="preserve">  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тыс.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рублей, по расходам в </w:t>
            </w:r>
            <w:r w:rsidR="00AB7E3A" w:rsidRPr="006D08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объеме </w:t>
            </w:r>
            <w:r w:rsidR="00AB7E3A">
              <w:rPr>
                <w:rFonts w:ascii="Times New Roman" w:hAnsi="Times New Roman" w:cs="Times New Roman"/>
                <w:sz w:val="28"/>
                <w:szCs w:val="28"/>
              </w:rPr>
              <w:t>355170,5</w:t>
            </w:r>
            <w:r w:rsidR="00AB7E3A">
              <w:t xml:space="preserve"> 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рублей, дефицитом в сумме </w:t>
            </w:r>
            <w:r w:rsidR="00AB7E3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6500,0</w:t>
            </w:r>
            <w:r w:rsidR="00AB7E3A" w:rsidRPr="0099736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proofErr w:type="gramEnd"/>
          </w:p>
          <w:p w:rsidR="00AB7E3A" w:rsidRDefault="00AB7E3A" w:rsidP="00AB7E3A">
            <w:pPr>
              <w:pStyle w:val="a6"/>
              <w:spacing w:before="0" w:after="0"/>
              <w:ind w:firstLine="7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 xml:space="preserve">        Решением Собрания представителей от 17.06.2020г </w:t>
            </w:r>
            <w:r w:rsidRPr="00AB7E3A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№</w:t>
            </w:r>
            <w:r w:rsidR="00CB7E09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11-5 </w:t>
            </w:r>
            <w:r w:rsidRPr="00AB7E3A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Собрания представителей муниципального образования Куркинский район от 25.12.2019 г. № 9-2 «О бюджете муниципального образования Куркинский район на 2020 год и на плановый период 2021 и 2022 год</w:t>
            </w:r>
            <w:r w:rsidR="0053009C"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  <w:r w:rsidRPr="002F73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основные характеристики бюджета муниципального образования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Куркинский район</w:t>
            </w:r>
            <w:r w:rsidR="005300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2020</w:t>
            </w:r>
            <w:r w:rsidRPr="002F73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 </w:t>
            </w:r>
            <w:r w:rsidR="0053009C">
              <w:rPr>
                <w:rFonts w:ascii="Times New Roman" w:hAnsi="Times New Roman" w:cs="Times New Roman"/>
                <w:iCs/>
                <w:sz w:val="28"/>
                <w:szCs w:val="28"/>
              </w:rPr>
              <w:t>утверждены</w:t>
            </w:r>
            <w:r w:rsidRPr="002F736A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53009C" w:rsidRPr="002F736A" w:rsidRDefault="0053009C" w:rsidP="00AB7E3A">
            <w:pPr>
              <w:pStyle w:val="a6"/>
              <w:spacing w:before="0" w:after="0"/>
              <w:ind w:firstLine="7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B7E3A" w:rsidRPr="0053009C" w:rsidRDefault="00AB7E3A" w:rsidP="00AB7E3A">
            <w:pPr>
              <w:pStyle w:val="a6"/>
              <w:spacing w:before="0" w:after="0"/>
              <w:ind w:left="1428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2F73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общий объем доходов в </w:t>
            </w: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сумме </w:t>
            </w:r>
            <w:r w:rsidRPr="0053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351458,77840</w:t>
            </w:r>
            <w:r w:rsidRPr="0053009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тыс. рублей;</w:t>
            </w:r>
          </w:p>
          <w:p w:rsidR="00AB7E3A" w:rsidRPr="0053009C" w:rsidRDefault="00AB7E3A" w:rsidP="00AB7E3A">
            <w:pPr>
              <w:pStyle w:val="a6"/>
              <w:spacing w:before="0" w:after="0"/>
              <w:ind w:left="1428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общий объем расходов в сумме </w:t>
            </w:r>
            <w:r w:rsidRPr="0053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365367,04585</w:t>
            </w:r>
            <w:r w:rsidRPr="0053009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тыс. рублей;</w:t>
            </w:r>
          </w:p>
          <w:p w:rsidR="00AB7E3A" w:rsidRPr="0058578B" w:rsidRDefault="00AB7E3A" w:rsidP="00AB7E3A">
            <w:pPr>
              <w:pStyle w:val="a6"/>
              <w:tabs>
                <w:tab w:val="left" w:pos="375"/>
              </w:tabs>
              <w:spacing w:before="0" w:after="0"/>
              <w:ind w:left="1428"/>
              <w:rPr>
                <w:b/>
                <w:sz w:val="28"/>
              </w:rPr>
            </w:pPr>
            <w:r w:rsidRPr="0053009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- дефицит в сумме 13908,26745 тыс. рублей</w:t>
            </w:r>
            <w:r w:rsidRPr="0058578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27756" w:rsidRPr="00F27756" w:rsidRDefault="00AB7E3A" w:rsidP="0053009C">
            <w:pPr>
              <w:spacing w:before="24" w:after="336" w:line="240" w:lineRule="auto"/>
              <w:ind w:right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</w:p>
          <w:p w:rsidR="004C3B21" w:rsidRDefault="0093547A" w:rsidP="00C33AB6">
            <w:pPr>
              <w:spacing w:before="24" w:after="336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703E9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Кассовое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исполнение Бюджета за I полугодие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по дохода</w:t>
            </w:r>
            <w:r w:rsidR="000F0F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0F0F1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составило </w:t>
            </w:r>
            <w:r w:rsidR="00CF5E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166960,0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CF5E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47,5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плану), по расходам – </w:t>
            </w:r>
            <w:r w:rsidR="00CF5E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153325,7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CF5E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42,0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% к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уточненному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плану).  Бюджет исполнен с профицитом в сумме </w:t>
            </w:r>
            <w:r w:rsidR="00CF5E2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13634,5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</w:t>
            </w:r>
            <w:proofErr w:type="gramStart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сложившимся</w:t>
            </w:r>
            <w:proofErr w:type="gramEnd"/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за счёт  остатков собственных средств, неиспользованных субсидий и субвенций из бюджета Тульской области.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АНАЛИЗ ДОХОДНОЙ ЧАСТИ БЮДЖЕТА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Анализ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исполнения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ной   части   Бюджета</w:t>
            </w:r>
            <w:r w:rsidR="0029212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</w:t>
            </w:r>
            <w:r w:rsidR="00E921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I </w:t>
            </w:r>
            <w:r w:rsidR="00E921B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полугодие 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 w:rsidR="00E652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разрезе основных групп доходов.</w:t>
            </w:r>
          </w:p>
          <w:tbl>
            <w:tblPr>
              <w:tblStyle w:val="a3"/>
              <w:tblW w:w="9612" w:type="dxa"/>
              <w:tblInd w:w="1" w:type="dxa"/>
              <w:tblLayout w:type="fixed"/>
              <w:tblLook w:val="04A0"/>
            </w:tblPr>
            <w:tblGrid>
              <w:gridCol w:w="2487"/>
              <w:gridCol w:w="2061"/>
              <w:gridCol w:w="1763"/>
              <w:gridCol w:w="1903"/>
              <w:gridCol w:w="1398"/>
            </w:tblGrid>
            <w:tr w:rsidR="00554DB4" w:rsidTr="003F125A">
              <w:trPr>
                <w:trHeight w:val="1179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422978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422978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Утвержденные</w:t>
                  </w:r>
                  <w:proofErr w:type="gramEnd"/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на </w:t>
                  </w:r>
                  <w:r w:rsidR="00AC3AF1"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2020</w:t>
                  </w: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652E7" w:rsidRPr="00422978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422978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Исполнение на 01.07</w:t>
                  </w:r>
                  <w:r w:rsidR="00554DB4"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="00AC3AF1"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2020</w:t>
                  </w:r>
                  <w:r w:rsidR="00554DB4"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г, тыс.</w:t>
                  </w: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руб.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652E7" w:rsidRPr="00422978" w:rsidRDefault="00E652E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Исполне-но.%</w:t>
                  </w:r>
                  <w:proofErr w:type="spellEnd"/>
                </w:p>
              </w:tc>
            </w:tr>
            <w:tr w:rsidR="00A360F2" w:rsidTr="003F125A">
              <w:trPr>
                <w:trHeight w:val="54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Доходы, итого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349683,6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351458,8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166960,0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47,5</w:t>
                  </w:r>
                </w:p>
              </w:tc>
            </w:tr>
            <w:tr w:rsidR="00D7302E" w:rsidTr="003F125A">
              <w:trPr>
                <w:trHeight w:val="54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7302E" w:rsidRPr="00422978" w:rsidRDefault="00D7302E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Налоговые и неналоговые доходы, в том</w:t>
                  </w:r>
                  <w:proofErr w:type="gramStart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исле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7302E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111734,4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7302E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110499,1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7302E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52610,5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7302E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47,6</w:t>
                  </w:r>
                </w:p>
              </w:tc>
            </w:tr>
            <w:tr w:rsidR="00A360F2" w:rsidTr="003F125A">
              <w:trPr>
                <w:trHeight w:val="827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36969,8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36969,8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19181,2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51,9</w:t>
                  </w:r>
                </w:p>
              </w:tc>
            </w:tr>
            <w:tr w:rsidR="00A360F2" w:rsidTr="003F125A">
              <w:trPr>
                <w:trHeight w:val="72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Акцизы по подакцизным товарам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36593,4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36593,4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8430B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14</w:t>
                  </w:r>
                  <w:r w:rsidR="008430B8"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8</w:t>
                  </w: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81,</w:t>
                  </w:r>
                  <w:r w:rsidR="008430B8"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40,7</w:t>
                  </w:r>
                </w:p>
              </w:tc>
            </w:tr>
            <w:tr w:rsidR="00A360F2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6532,7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6150,2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3625,4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</w:tr>
            <w:tr w:rsidR="00A360F2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13344,0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13344,0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6647,1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49,8</w:t>
                  </w:r>
                </w:p>
              </w:tc>
            </w:tr>
            <w:tr w:rsidR="00A360F2" w:rsidTr="003F125A">
              <w:trPr>
                <w:trHeight w:val="10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Государственная пошлина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580,0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580,0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380,4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65,6</w:t>
                  </w:r>
                </w:p>
              </w:tc>
            </w:tr>
            <w:tr w:rsidR="00A360F2" w:rsidTr="00422978">
              <w:trPr>
                <w:trHeight w:val="147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Доходы от использования имущества, </w:t>
                  </w:r>
                  <w:proofErr w:type="spellStart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наход</w:t>
                  </w:r>
                  <w:proofErr w:type="spellEnd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. в </w:t>
                  </w:r>
                  <w:proofErr w:type="spellStart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гос</w:t>
                  </w:r>
                  <w:proofErr w:type="spellEnd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.  и </w:t>
                  </w:r>
                  <w:proofErr w:type="spellStart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муниц</w:t>
                  </w:r>
                  <w:proofErr w:type="spellEnd"/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. собственности, в т.ч.: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6066,6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5631,9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2534,6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45,0</w:t>
                  </w:r>
                </w:p>
              </w:tc>
            </w:tr>
            <w:tr w:rsidR="00A360F2" w:rsidTr="003F125A">
              <w:trPr>
                <w:trHeight w:val="78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-доходы, получаемые в виде арендной платы муниципального имущества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4FA0" w:rsidRPr="00422978" w:rsidRDefault="00A04FA0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401,6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476,9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481,9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101,0</w:t>
                  </w:r>
                </w:p>
              </w:tc>
            </w:tr>
            <w:tr w:rsidR="00A360F2" w:rsidTr="00422978">
              <w:trPr>
                <w:trHeight w:val="122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-доходы, получаемые в виде арендной платы за земельные участки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04FA0" w:rsidRPr="00422978" w:rsidRDefault="00A04FA0" w:rsidP="00A04FA0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5665,0</w:t>
                  </w:r>
                </w:p>
                <w:p w:rsidR="00A360F2" w:rsidRPr="00422978" w:rsidRDefault="00A360F2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5155,0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2052,7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39,8</w:t>
                  </w:r>
                </w:p>
              </w:tc>
            </w:tr>
            <w:tr w:rsidR="00A360F2" w:rsidTr="003F125A">
              <w:trPr>
                <w:trHeight w:val="49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Платежи за пользование природными ресурсами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83,8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246,9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DE2E64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196,6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79,6</w:t>
                  </w:r>
                </w:p>
              </w:tc>
            </w:tr>
            <w:tr w:rsidR="00A360F2" w:rsidTr="003F125A">
              <w:trPr>
                <w:trHeight w:val="92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Доходы от оказания платных услуг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9903,0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7403,0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C8775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2486,9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33,6</w:t>
                  </w:r>
                </w:p>
              </w:tc>
            </w:tr>
            <w:tr w:rsidR="00A360F2" w:rsidTr="003F125A">
              <w:trPr>
                <w:trHeight w:val="404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активов, в т.ч.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1135,0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2978,0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C8775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2388,9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80,2</w:t>
                  </w:r>
                </w:p>
              </w:tc>
            </w:tr>
            <w:tr w:rsidR="00A360F2" w:rsidTr="003F125A">
              <w:trPr>
                <w:trHeight w:val="7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-доходы от реализации имущества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327,0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A04FA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327,0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C8775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</w:tr>
            <w:tr w:rsidR="00A360F2" w:rsidTr="00422978">
              <w:trPr>
                <w:trHeight w:val="911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 доходы от продажи земельных участков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808,0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2592,5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C87750" w:rsidP="008430B8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23</w:t>
                  </w:r>
                  <w:r w:rsidR="008430B8"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1,</w:t>
                  </w:r>
                  <w:r w:rsidR="008430B8"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</w:tr>
            <w:tr w:rsidR="00A360F2" w:rsidTr="00422978">
              <w:trPr>
                <w:trHeight w:val="715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Штрафные санкции, возмещение  ущерба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526,1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601,9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C8775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322,3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53,5</w:t>
                  </w:r>
                </w:p>
              </w:tc>
            </w:tr>
            <w:tr w:rsidR="00A360F2" w:rsidTr="003F125A">
              <w:trPr>
                <w:trHeight w:val="496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  <w:r w:rsidR="00C87750"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(невыясненные)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C8775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-34,0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E64BC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A360F2" w:rsidTr="00A64D87">
              <w:trPr>
                <w:trHeight w:val="98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lastRenderedPageBreak/>
                    <w:t>Безвозмездные перечисления, в том числе: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  <w:t>237949,2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Cs/>
                      <w:color w:val="010101"/>
                      <w:sz w:val="24"/>
                      <w:szCs w:val="24"/>
                      <w:lang w:eastAsia="ru-RU"/>
                    </w:rPr>
                    <w:t>240959,7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C87750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114349,5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422978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47,5</w:t>
                  </w:r>
                </w:p>
              </w:tc>
            </w:tr>
            <w:tr w:rsidR="00A360F2" w:rsidTr="003F125A">
              <w:trPr>
                <w:trHeight w:val="638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-дотации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63365,7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63365,7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D52F5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31682,9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422978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A360F2" w:rsidTr="003F125A">
              <w:trPr>
                <w:trHeight w:val="4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-субсидии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21444,9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24916,6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D52F5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8075,8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422978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</w:tr>
            <w:tr w:rsidR="00A360F2" w:rsidTr="003F125A">
              <w:trPr>
                <w:trHeight w:val="47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-субвенции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146380,0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137946,9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D52F5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70626,7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422978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51,2</w:t>
                  </w:r>
                </w:p>
              </w:tc>
            </w:tr>
            <w:tr w:rsidR="00A360F2" w:rsidTr="00422978">
              <w:trPr>
                <w:trHeight w:val="954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-иные межбюджетные трансферты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6702,6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13325,8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D52F5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2605,3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422978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19,6</w:t>
                  </w:r>
                </w:p>
              </w:tc>
            </w:tr>
            <w:tr w:rsidR="00A360F2" w:rsidTr="003F125A">
              <w:trPr>
                <w:trHeight w:val="530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 xml:space="preserve">-прочие безвозмездные 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676E0D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422978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360F2" w:rsidTr="003F125A">
              <w:trPr>
                <w:trHeight w:val="555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A360F2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-пожертвования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56,0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1422,6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676E0D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1376,7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422978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96,8</w:t>
                  </w:r>
                </w:p>
              </w:tc>
            </w:tr>
            <w:tr w:rsidR="00A360F2" w:rsidTr="003F125A">
              <w:trPr>
                <w:trHeight w:val="132"/>
              </w:trPr>
              <w:tc>
                <w:tcPr>
                  <w:tcW w:w="24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2A702F" w:rsidP="00C33AB6">
                  <w:pPr>
                    <w:spacing w:before="24" w:after="336"/>
                    <w:ind w:right="30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-в</w:t>
                  </w:r>
                  <w:r w:rsidR="00A360F2"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озврат остатков, имеющих целевое назначение</w:t>
                  </w:r>
                </w:p>
              </w:tc>
              <w:tc>
                <w:tcPr>
                  <w:tcW w:w="206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E22113" w:rsidP="00F72D89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iCs/>
                      <w:color w:val="010101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360F2" w:rsidRPr="00422978" w:rsidRDefault="00121837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-17,9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676E0D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-17,9</w:t>
                  </w:r>
                </w:p>
              </w:tc>
              <w:tc>
                <w:tcPr>
                  <w:tcW w:w="13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360F2" w:rsidRPr="00422978" w:rsidRDefault="00422978" w:rsidP="00C33AB6">
                  <w:pPr>
                    <w:spacing w:before="24" w:after="336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22978">
                    <w:rPr>
                      <w:rFonts w:ascii="Times New Roman" w:eastAsia="Times New Roman" w:hAnsi="Times New Roman" w:cs="Times New Roman"/>
                      <w:i/>
                      <w:color w:val="010101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</w:tbl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Исполнение Бюджета в первом полугоди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</w:t>
            </w:r>
            <w:r w:rsidR="00B105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47,5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процента (</w:t>
            </w:r>
            <w:r w:rsidR="00B105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процентов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первом полугодии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6518B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От плановых назначений более </w:t>
            </w:r>
            <w:r w:rsidR="002228D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50,0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составило по семи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доходны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источник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: </w:t>
            </w:r>
            <w:r w:rsidR="00B105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НДФЛ, </w:t>
            </w:r>
            <w:r w:rsidR="009C323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налоги на совокупный доход,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госпошлина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B105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арендная плата муниципального имущества,</w:t>
            </w:r>
            <w:r w:rsidR="009C323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 платежи за пользование природными ресурсами</w:t>
            </w:r>
            <w:r w:rsidR="00B105C1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доходы от</w:t>
            </w:r>
            <w:r w:rsidR="00B105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продажи земельных участков,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C323D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штрафные санкции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   В целом налоговые и неналоговые доходы поступили    в  объеме </w:t>
            </w:r>
            <w:r w:rsidR="00B105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52610,5 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тыс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 (</w:t>
            </w:r>
            <w:r w:rsidR="00B105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47242,9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запланированной сумме </w:t>
            </w:r>
            <w:r w:rsidR="004D1E2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110499,1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B105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95245,9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9C323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Исполнение составило </w:t>
            </w:r>
            <w:r w:rsidR="004D1E2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47,6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 (</w:t>
            </w:r>
            <w:r w:rsidR="004D1E2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41567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15678" w:rsidRDefault="00415678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</w:t>
            </w:r>
            <w:r w:rsidR="009C323D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Отмечается низкий уровень поступлений 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ов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, получаемы</w:t>
            </w:r>
            <w:r w:rsidR="00BA677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х</w:t>
            </w:r>
            <w:r w:rsidRPr="00415678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9C323D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от </w:t>
            </w:r>
            <w:r w:rsidR="004D1E23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>арендной платы земельных участков</w:t>
            </w:r>
            <w:r w:rsidR="00BA677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(</w:t>
            </w:r>
            <w:r w:rsidR="004D1E23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39,8%), доходов от оказания платных услуг (33,6%). </w:t>
            </w:r>
            <w:r w:rsidR="00BA6770"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4D1E23" w:rsidRDefault="004D1E23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Cs/>
                <w:color w:val="010101"/>
                <w:sz w:val="28"/>
                <w:szCs w:val="28"/>
                <w:lang w:eastAsia="ru-RU"/>
              </w:rPr>
            </w:pPr>
          </w:p>
          <w:p w:rsidR="00BA6770" w:rsidRPr="00415678" w:rsidRDefault="00BA6770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 xml:space="preserve">                 АНАЛИЗ   РАСХОДНОЙ  ЧАСТИ  БЮДЖЕТА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Бюджет за 1 полугодие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исполнен по расходам в сумме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153325,7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144810,1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2019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году)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годовых плановых назначениях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365367,0</w:t>
            </w:r>
            <w:r w:rsidR="007779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BF09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на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    Кассовое исполнение Бюджета по разделам составило: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«Общегосударственные вопросы»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22466,4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42884,8</w:t>
            </w:r>
            <w:r w:rsidR="00C5690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тыс. рублей или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оборона»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241,9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505,1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</w:t>
            </w:r>
            <w:r w:rsidR="00FB7D5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безопасность и правоохранительная деятельность»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2027,7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3787,6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тыс. рублей или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53,5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«Национальная экономика»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исполнение при плане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45135,0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составило </w:t>
            </w:r>
            <w:r w:rsidR="00EC24F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1346,8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рублей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или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3,0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  <w:r w:rsidR="007C1B3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Освоение средств муниципального дорожного фонда, который составляет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97,9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 от общей суммы раздела,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составило 979,5 тыс. рублей или 2,2%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«Жилищно-коммунальное хозяйство»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5102,8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годовых назначениях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21365,4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23,9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Освоение плановых назначений по подразделу «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ное хозяйство»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составило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по разделу «коммунальное хозяйство» освоено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4802,8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16229,0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что составляет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29,6</w:t>
            </w:r>
            <w:r w:rsidR="00734C74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%. По разделу «благоустройство» </w:t>
            </w:r>
            <w:r w:rsidR="002763F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расходы запланированы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сумме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4402,8</w:t>
            </w:r>
            <w:r w:rsidR="00F311A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рублей, освоение 0,0 рублей.</w:t>
            </w:r>
          </w:p>
          <w:p w:rsidR="00046E59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«Образование»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95751,9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годовых назначениях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204477,3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8D6D1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46,8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процента, в том числе по дошкольному образованию освоение составило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38,0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по общему образованию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%,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дополнительному образованию детей 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39,6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%, 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«молодежной политике» освоение равно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936EE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,0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%; раздел «другие вопросы в области образования» осво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ен на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сумму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5126,3</w:t>
            </w:r>
            <w:r w:rsidR="004E67D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46,9</w:t>
            </w:r>
            <w:r w:rsidR="006C23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 w:rsidR="005E0A1B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 xml:space="preserve">«Культура,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кинематография»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15707,4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30886,9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50,9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процента;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«Социальная политика»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5915,3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</w:t>
            </w:r>
            <w:r w:rsidR="00B045C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при плане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6724,0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или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87,0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«Физическая культура и спорт»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 -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39,6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ублей или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26,4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«Средства массовой информации» -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100,4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уб. при плане 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</w:t>
            </w:r>
            <w:r w:rsidR="005E0A1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тыс.руб. или </w:t>
            </w:r>
            <w:r w:rsidR="00E76025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процента. </w:t>
            </w:r>
          </w:p>
          <w:p w:rsidR="006C23F6" w:rsidRDefault="006C23F6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</w:t>
            </w:r>
            <w:r w:rsidR="00046E59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М</w:t>
            </w:r>
            <w:r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>ежбюджетные трансферты</w:t>
            </w:r>
            <w:r w:rsidR="00E521EE" w:rsidRPr="00050066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eastAsia="ru-RU"/>
              </w:rPr>
              <w:t xml:space="preserve"> общего характера бюджетам  бюджетной системы РФ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переданы на сумму </w:t>
            </w:r>
            <w:r w:rsidR="00ED501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4625,4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при плане </w:t>
            </w:r>
            <w:r w:rsidR="00ED501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9250,9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 (</w:t>
            </w:r>
            <w:r w:rsidR="00046E5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50,0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%), в том числе дотации бюджетам сельский и городского поселений  </w:t>
            </w:r>
            <w:r w:rsidR="00ED501A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4625,4</w:t>
            </w:r>
            <w:r w:rsidR="00E521E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тыс. рублей.</w:t>
            </w:r>
            <w:r w:rsidR="000500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Субсидии бюджетам  поселений не передавались.</w:t>
            </w:r>
          </w:p>
          <w:p w:rsidR="00CA7BB4" w:rsidRDefault="00CA7BB4" w:rsidP="00C33AB6">
            <w:pPr>
              <w:tabs>
                <w:tab w:val="left" w:pos="33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</w:t>
            </w:r>
            <w:r w:rsidR="00AC3A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 в МО Куркинский район реализ</w:t>
            </w:r>
            <w:r w:rsidR="00564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ются 1</w:t>
            </w:r>
            <w:r w:rsidR="002F2F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муниципальных программ.</w:t>
            </w:r>
          </w:p>
          <w:tbl>
            <w:tblPr>
              <w:tblpPr w:leftFromText="180" w:rightFromText="180" w:bottomFromText="200" w:vertAnchor="text" w:horzAnchor="margin" w:tblpXSpec="center" w:tblpY="111"/>
              <w:tblW w:w="960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856"/>
              <w:gridCol w:w="1450"/>
              <w:gridCol w:w="1436"/>
              <w:gridCol w:w="1435"/>
              <w:gridCol w:w="1430"/>
            </w:tblGrid>
            <w:tr w:rsidR="00F71F93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Pr="002F2FB4" w:rsidRDefault="00F71F93" w:rsidP="00C33AB6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Название программы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Pr="002F2FB4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План </w:t>
                  </w:r>
                  <w:proofErr w:type="gramStart"/>
                  <w:r w:rsidRPr="002F2F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</w:t>
                  </w:r>
                  <w:proofErr w:type="gramEnd"/>
                  <w:r w:rsidRPr="002F2F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71F93" w:rsidRPr="002F2FB4" w:rsidRDefault="00AC3AF1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  <w:r w:rsidR="00F71F93" w:rsidRPr="002F2F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F93" w:rsidRPr="002F2FB4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Уточнен-</w:t>
                  </w:r>
                </w:p>
                <w:p w:rsidR="00F71F93" w:rsidRPr="002F2FB4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F2FB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r w:rsidRPr="002F2FB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план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Pr="002F2FB4" w:rsidRDefault="00F71F93" w:rsidP="00C33AB6">
                  <w:pPr>
                    <w:spacing w:line="240" w:lineRule="auto"/>
                    <w:ind w:firstLine="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Исполнение за полугодие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1F93" w:rsidRPr="002F2FB4" w:rsidRDefault="00F71F93" w:rsidP="00C33AB6">
                  <w:pPr>
                    <w:spacing w:line="240" w:lineRule="auto"/>
                    <w:ind w:firstLine="175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0B3A48" w:rsidTr="003F125A">
              <w:trPr>
                <w:trHeight w:val="70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"Развитие образования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ind w:firstLine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208575,4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A48" w:rsidRPr="002F2FB4" w:rsidRDefault="002C4455" w:rsidP="000B3A48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196253,0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CB7E09" w:rsidP="000B3A48">
                  <w:pPr>
                    <w:spacing w:line="240" w:lineRule="auto"/>
                    <w:ind w:firstLine="3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94343,0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7B3606" w:rsidP="000B3A48">
                  <w:pPr>
                    <w:spacing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48,1</w:t>
                  </w:r>
                </w:p>
              </w:tc>
            </w:tr>
            <w:tr w:rsidR="000B3A48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"Развитие культуры и туризма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36364,2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A48" w:rsidRPr="002F2FB4" w:rsidRDefault="002C4455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34640,7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8F3F88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17593,1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7B3606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50,8</w:t>
                  </w:r>
                </w:p>
              </w:tc>
            </w:tr>
            <w:tr w:rsidR="000B3A48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"Развитие физической культуры, спорта и повышение эффективности реализации молодежной политики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5123,0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A48" w:rsidRPr="002F2FB4" w:rsidRDefault="002C4455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5225,1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8F3F88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5045,1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7B3606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96,6</w:t>
                  </w:r>
                </w:p>
              </w:tc>
            </w:tr>
            <w:tr w:rsidR="000B3A48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"Социальная поддержка и социальное обслуживание населения муниципального образования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A48" w:rsidRPr="002F2FB4" w:rsidRDefault="002C4455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540,2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8F3F88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281,6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7B3606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52,1</w:t>
                  </w:r>
                </w:p>
              </w:tc>
            </w:tr>
            <w:tr w:rsidR="000B3A48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5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"Улучшение демографической ситуации и поддержка семей, воспитывающих детей, в муниципальном образовании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0B3A48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1497,0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3A48" w:rsidRPr="002F2FB4" w:rsidRDefault="002C4455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428,9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807E59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229,1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B3A48" w:rsidRPr="002F2FB4" w:rsidRDefault="007B3606" w:rsidP="000B3A48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53,4</w:t>
                  </w:r>
                </w:p>
              </w:tc>
            </w:tr>
            <w:tr w:rsidR="003D7CB1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 </w:t>
                  </w:r>
                  <w:r w:rsidRPr="002F2FB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МП "Развитие сельского хозяйства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2C4455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D7CB1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  МП « Обеспечение качественным жильем и услугами ЖКХ населения муниципального образования Куркинский район»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3373,1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2C4455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13368,2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4302,8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32,2</w:t>
                  </w:r>
                </w:p>
              </w:tc>
            </w:tr>
            <w:tr w:rsidR="003D7CB1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  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МП «Энергоэффективность муниципального образования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2C4455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D7CB1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10 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"Модернизация и развитие автомобильных дорог общего пользования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36593,4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39483,6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597,1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3D7CB1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11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"Развитие малого и среднего предпринимательства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D7CB1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12 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"Управление муниципальными финансами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14592,2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14592,2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7545,8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51,7</w:t>
                  </w:r>
                </w:p>
              </w:tc>
            </w:tr>
            <w:tr w:rsidR="003D7CB1" w:rsidTr="003F125A">
              <w:trPr>
                <w:trHeight w:val="178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13 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412,8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412,8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47,4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11,5</w:t>
                  </w:r>
                </w:p>
              </w:tc>
            </w:tr>
            <w:tr w:rsidR="003D7CB1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14 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2558,0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2558,0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1386,6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54,2</w:t>
                  </w:r>
                </w:p>
              </w:tc>
            </w:tr>
            <w:tr w:rsidR="003D7CB1" w:rsidTr="003F125A">
              <w:trPr>
                <w:trHeight w:val="144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15 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"Управление муниципальным имуществом и земельными ресурсами муниципального образования Куркинский район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559,1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559,1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70,1</w:t>
                  </w:r>
                </w:p>
              </w:tc>
            </w:tr>
            <w:tr w:rsidR="003D7CB1" w:rsidTr="003F125A">
              <w:trPr>
                <w:trHeight w:val="1081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16 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"Информационная политика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100,4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50,2</w:t>
                  </w:r>
                </w:p>
              </w:tc>
            </w:tr>
            <w:tr w:rsidR="003D7CB1" w:rsidTr="003F125A">
              <w:trPr>
                <w:trHeight w:val="1059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17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"Развитие контрактной системы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3D7CB1" w:rsidTr="003F125A">
              <w:trPr>
                <w:trHeight w:val="103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18  </w:t>
                  </w: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МП " Развитие архивного дела в муниципальном образовании Куркинский район"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55,0</w:t>
                  </w:r>
                </w:p>
              </w:tc>
            </w:tr>
            <w:tr w:rsidR="003D7CB1" w:rsidTr="003F125A">
              <w:trPr>
                <w:trHeight w:val="103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20 МП «Формирование современной городской среды в  муниципальном образовании Куркинский район на 2019-2022 </w:t>
                  </w: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годы» 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800,0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5899,3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5410,1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91,7</w:t>
                  </w:r>
                </w:p>
              </w:tc>
            </w:tr>
            <w:tr w:rsidR="003D7CB1" w:rsidTr="003F125A">
              <w:trPr>
                <w:trHeight w:val="1037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22 МП «Поддержка социально ориентированных некоммерческих организаций в муниципальном образовании Куркинский район на 2018-2024 годы»</w:t>
                  </w: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807E59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3D7CB1" w:rsidTr="003F125A">
              <w:trPr>
                <w:trHeight w:val="388"/>
              </w:trPr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3D7CB1" w:rsidP="003D7CB1">
                  <w:pPr>
                    <w:spacing w:line="240" w:lineRule="auto"/>
                    <w:ind w:firstLine="49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3D7CB1" w:rsidP="003D7CB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311380,2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CB1" w:rsidRPr="002F2FB4" w:rsidRDefault="005832BD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F2FB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314333,2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137288,0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7CB1" w:rsidRPr="002F2FB4" w:rsidRDefault="007B3606" w:rsidP="003D7CB1">
                  <w:pPr>
                    <w:spacing w:line="240" w:lineRule="auto"/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43,7</w:t>
                  </w:r>
                </w:p>
              </w:tc>
            </w:tr>
          </w:tbl>
          <w:p w:rsidR="003F125A" w:rsidRDefault="0036135B" w:rsidP="00C33A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ысоким процентом освоения денежных средств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можно отметить программы №1,2,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2E3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F125A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2,14,</w:t>
            </w:r>
            <w:r w:rsidR="00362E30">
              <w:rPr>
                <w:rFonts w:ascii="Times New Roman" w:hAnsi="Times New Roman" w:cs="Times New Roman"/>
                <w:sz w:val="28"/>
                <w:szCs w:val="28"/>
              </w:rPr>
              <w:t>15,16,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E30">
              <w:rPr>
                <w:rFonts w:ascii="Times New Roman" w:hAnsi="Times New Roman" w:cs="Times New Roman"/>
                <w:sz w:val="28"/>
                <w:szCs w:val="28"/>
              </w:rPr>
              <w:t>8,20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Другие программы освоены не более </w:t>
            </w:r>
            <w:r w:rsidR="00362E30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,0 % или не финансировались вовсе. Общая сумма освоения действующих программ составила </w:t>
            </w:r>
            <w:r w:rsidR="009268ED">
              <w:rPr>
                <w:rFonts w:ascii="Times New Roman" w:hAnsi="Times New Roman" w:cs="Times New Roman"/>
                <w:sz w:val="28"/>
                <w:szCs w:val="28"/>
              </w:rPr>
              <w:t>137288,0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или </w:t>
            </w:r>
            <w:r w:rsidR="009268ED"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% (для сравнения в </w:t>
            </w:r>
            <w:r w:rsidR="00AC3AF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году освоение программ составило </w:t>
            </w:r>
            <w:r w:rsidR="009268ED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% или </w:t>
            </w:r>
            <w:r w:rsidR="009268ED">
              <w:rPr>
                <w:rFonts w:ascii="Times New Roman" w:hAnsi="Times New Roman" w:cs="Times New Roman"/>
                <w:sz w:val="28"/>
                <w:szCs w:val="28"/>
              </w:rPr>
              <w:t>122569,5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рублей). </w:t>
            </w:r>
          </w:p>
          <w:p w:rsidR="00CA7BB4" w:rsidRDefault="003F125A" w:rsidP="00C33A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BDA">
              <w:rPr>
                <w:rFonts w:ascii="Times New Roman" w:hAnsi="Times New Roman" w:cs="Times New Roman"/>
                <w:sz w:val="28"/>
                <w:szCs w:val="28"/>
              </w:rPr>
              <w:t>на второе полугодие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AC5713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8E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>,0 млн.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больше финансовой нагрузки первого полугодия  на </w:t>
            </w:r>
            <w:r w:rsidR="009268ED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00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713" w:rsidRDefault="00AC5713" w:rsidP="00C33AB6">
            <w:pPr>
              <w:spacing w:before="24" w:after="336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C5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При прогнозируемом годовом дефиците </w:t>
            </w:r>
            <w:r w:rsidR="009268ED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13908,3</w:t>
            </w:r>
            <w:r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тыс. рублей, бюджет исполнен с профицитом в сумме </w:t>
            </w:r>
            <w:r w:rsidR="009268ED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13634,4</w:t>
            </w:r>
            <w:r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4C3B21" w:rsidRDefault="004C3B21" w:rsidP="00C33AB6">
            <w:pPr>
              <w:spacing w:before="24" w:after="336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Выводы и предложения: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1. Отчет об исполнении Бюджета за 1 полугодие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представлен в Собрание представителей и контрольно-ревизионную комиссию  с соблюдением требований Положения о бюджетном процессе муниципального образования Куркинский район.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2. Фактическое исполнение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доходной части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Бюджета в I полугодие</w:t>
            </w:r>
            <w:r w:rsidR="0036135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характеризуется </w:t>
            </w:r>
            <w:r w:rsidR="00C33AB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хорошими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показателями.</w:t>
            </w:r>
          </w:p>
          <w:p w:rsidR="00C33AB6" w:rsidRDefault="00C33AB6" w:rsidP="009268ED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4C3B2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. </w:t>
            </w:r>
            <w:r w:rsidR="009268ED"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При прогнозируемом годовом дефиците </w:t>
            </w:r>
            <w:r w:rsidR="009268ED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13908,3</w:t>
            </w:r>
            <w:r w:rsidR="009268ED"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тыс. рублей, бюджет исполнен с профицитом в сумме </w:t>
            </w:r>
            <w:r w:rsidR="009268ED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13634,4</w:t>
            </w:r>
            <w:r w:rsidR="009268ED" w:rsidRPr="00AC5713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тыс. рублей, сложившимся за счёт неиспользованных объемов субсидий и субвенций из бюджета Тульской области, налоговых и неналоговых доходов бюджета МО Куркинский район.</w:t>
            </w:r>
          </w:p>
          <w:p w:rsidR="009268ED" w:rsidRDefault="00C33AB6" w:rsidP="00C33AB6">
            <w:pPr>
              <w:spacing w:before="24" w:after="336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8ED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освоения действующих программ составила 137288,0 тыс. рублей или 43,7% (для сравнения в 2019 году освоение программ составило 35,6% или 122569,5 тыс. рублей). </w:t>
            </w:r>
          </w:p>
          <w:p w:rsidR="0080065F" w:rsidRDefault="00C33AB6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 Принять меры для исполнения программных мероприятий в полном объеме</w:t>
            </w:r>
            <w:r w:rsidR="009268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особое внимание уделить </w:t>
            </w:r>
            <w:r w:rsidR="00CE75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финансовоемким </w:t>
            </w:r>
            <w:r w:rsidR="009268E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программам</w:t>
            </w:r>
            <w:r w:rsidR="00CE753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 низким освоением средств за первое полугодие (№10 и №13)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4C3B21" w:rsidRDefault="004C3B21" w:rsidP="00C33AB6">
            <w:pPr>
              <w:spacing w:before="24" w:after="336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   По результатам проведенного анализа Отчета, контрольно-ревизионная комиссия  считает возможным рекомендовать Собранию представителей МО Куркинский район принять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отчет об исполнении Бюджета за I полугодие </w:t>
            </w:r>
            <w:r w:rsidR="00AC3A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года к сведению с выработкой конкретных рекомендаций в адрес </w:t>
            </w:r>
            <w:r w:rsidR="0080065F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дминистрации </w:t>
            </w:r>
            <w:r w:rsidR="0087707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Куркинский район.</w:t>
            </w:r>
          </w:p>
        </w:tc>
      </w:tr>
      <w:tr w:rsidR="004C3B21" w:rsidTr="003F125A">
        <w:trPr>
          <w:trHeight w:val="523"/>
        </w:trPr>
        <w:tc>
          <w:tcPr>
            <w:tcW w:w="5000" w:type="pct"/>
            <w:shd w:val="clear" w:color="auto" w:fill="FFFFFF"/>
          </w:tcPr>
          <w:p w:rsidR="004C3B21" w:rsidRDefault="004C3B21" w:rsidP="00C33AB6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C3B21" w:rsidRDefault="004C3B21" w:rsidP="00C33A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контрольно - ревизионной комиссии</w:t>
      </w:r>
    </w:p>
    <w:p w:rsidR="004C3B21" w:rsidRDefault="004C3B21" w:rsidP="00C33A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Куркинский район       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4C3B21" w:rsidRDefault="004C3B21" w:rsidP="00C33A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579C" w:rsidRDefault="0010579C" w:rsidP="00C33AB6">
      <w:pPr>
        <w:spacing w:line="240" w:lineRule="auto"/>
      </w:pPr>
    </w:p>
    <w:sectPr w:rsidR="0010579C" w:rsidSect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21"/>
    <w:rsid w:val="00045CA2"/>
    <w:rsid w:val="00046BD5"/>
    <w:rsid w:val="00046E59"/>
    <w:rsid w:val="00050066"/>
    <w:rsid w:val="000857A4"/>
    <w:rsid w:val="00091683"/>
    <w:rsid w:val="0009530F"/>
    <w:rsid w:val="000A584A"/>
    <w:rsid w:val="000B0908"/>
    <w:rsid w:val="000B3A48"/>
    <w:rsid w:val="000E060C"/>
    <w:rsid w:val="000E4718"/>
    <w:rsid w:val="000F0F14"/>
    <w:rsid w:val="000F472D"/>
    <w:rsid w:val="001032A0"/>
    <w:rsid w:val="0010579C"/>
    <w:rsid w:val="00107787"/>
    <w:rsid w:val="001204E6"/>
    <w:rsid w:val="00121837"/>
    <w:rsid w:val="001529B1"/>
    <w:rsid w:val="00176A9C"/>
    <w:rsid w:val="001E6A61"/>
    <w:rsid w:val="001F11EE"/>
    <w:rsid w:val="002228DF"/>
    <w:rsid w:val="002276F8"/>
    <w:rsid w:val="00257A4C"/>
    <w:rsid w:val="002763F0"/>
    <w:rsid w:val="00292123"/>
    <w:rsid w:val="002A702F"/>
    <w:rsid w:val="002B08E7"/>
    <w:rsid w:val="002B5B0A"/>
    <w:rsid w:val="002C4455"/>
    <w:rsid w:val="002D4988"/>
    <w:rsid w:val="002F2FB4"/>
    <w:rsid w:val="00320A77"/>
    <w:rsid w:val="003470D7"/>
    <w:rsid w:val="0036135B"/>
    <w:rsid w:val="00362E30"/>
    <w:rsid w:val="003D48F9"/>
    <w:rsid w:val="003D7CB1"/>
    <w:rsid w:val="003F125A"/>
    <w:rsid w:val="00415678"/>
    <w:rsid w:val="00422978"/>
    <w:rsid w:val="00434508"/>
    <w:rsid w:val="004774EF"/>
    <w:rsid w:val="004947D3"/>
    <w:rsid w:val="004A5547"/>
    <w:rsid w:val="004B0B4C"/>
    <w:rsid w:val="004B3157"/>
    <w:rsid w:val="004C3B21"/>
    <w:rsid w:val="004D1E23"/>
    <w:rsid w:val="004E67D9"/>
    <w:rsid w:val="0053009C"/>
    <w:rsid w:val="00554DB4"/>
    <w:rsid w:val="00564EC1"/>
    <w:rsid w:val="005656D3"/>
    <w:rsid w:val="0058200E"/>
    <w:rsid w:val="005832BD"/>
    <w:rsid w:val="00584300"/>
    <w:rsid w:val="005E0A1B"/>
    <w:rsid w:val="006073AF"/>
    <w:rsid w:val="006139D0"/>
    <w:rsid w:val="006143A3"/>
    <w:rsid w:val="00632E98"/>
    <w:rsid w:val="006518BC"/>
    <w:rsid w:val="00676E0D"/>
    <w:rsid w:val="00676E1B"/>
    <w:rsid w:val="006C23F6"/>
    <w:rsid w:val="00703E90"/>
    <w:rsid w:val="00707052"/>
    <w:rsid w:val="00726334"/>
    <w:rsid w:val="00734C74"/>
    <w:rsid w:val="007546B1"/>
    <w:rsid w:val="00767391"/>
    <w:rsid w:val="00776A58"/>
    <w:rsid w:val="00777925"/>
    <w:rsid w:val="007A6C7E"/>
    <w:rsid w:val="007B3606"/>
    <w:rsid w:val="007C1B3F"/>
    <w:rsid w:val="007D147F"/>
    <w:rsid w:val="007F7164"/>
    <w:rsid w:val="008002ED"/>
    <w:rsid w:val="0080065F"/>
    <w:rsid w:val="00807E59"/>
    <w:rsid w:val="00810A46"/>
    <w:rsid w:val="00816BD6"/>
    <w:rsid w:val="008430B8"/>
    <w:rsid w:val="00853D35"/>
    <w:rsid w:val="008605F2"/>
    <w:rsid w:val="0087707B"/>
    <w:rsid w:val="008C2270"/>
    <w:rsid w:val="008D6D16"/>
    <w:rsid w:val="008F3F88"/>
    <w:rsid w:val="00916612"/>
    <w:rsid w:val="009268ED"/>
    <w:rsid w:val="0093547A"/>
    <w:rsid w:val="00936EE5"/>
    <w:rsid w:val="00985B6D"/>
    <w:rsid w:val="009C323D"/>
    <w:rsid w:val="00A04FA0"/>
    <w:rsid w:val="00A360F2"/>
    <w:rsid w:val="00A37725"/>
    <w:rsid w:val="00A64D87"/>
    <w:rsid w:val="00A85495"/>
    <w:rsid w:val="00AB7E3A"/>
    <w:rsid w:val="00AC3AF1"/>
    <w:rsid w:val="00AC5478"/>
    <w:rsid w:val="00AC5713"/>
    <w:rsid w:val="00AF3187"/>
    <w:rsid w:val="00B045CB"/>
    <w:rsid w:val="00B105C1"/>
    <w:rsid w:val="00B145D0"/>
    <w:rsid w:val="00B359B6"/>
    <w:rsid w:val="00B74DC3"/>
    <w:rsid w:val="00B97DED"/>
    <w:rsid w:val="00BA2573"/>
    <w:rsid w:val="00BA6770"/>
    <w:rsid w:val="00BF0983"/>
    <w:rsid w:val="00C27CA5"/>
    <w:rsid w:val="00C33AB6"/>
    <w:rsid w:val="00C4457E"/>
    <w:rsid w:val="00C56905"/>
    <w:rsid w:val="00C87750"/>
    <w:rsid w:val="00CA12BE"/>
    <w:rsid w:val="00CA2A14"/>
    <w:rsid w:val="00CA7BB4"/>
    <w:rsid w:val="00CB7E09"/>
    <w:rsid w:val="00CE753B"/>
    <w:rsid w:val="00CE7972"/>
    <w:rsid w:val="00CF5BEB"/>
    <w:rsid w:val="00CF5E2A"/>
    <w:rsid w:val="00D20EDD"/>
    <w:rsid w:val="00D23DD7"/>
    <w:rsid w:val="00D25982"/>
    <w:rsid w:val="00D43BA7"/>
    <w:rsid w:val="00D43CC5"/>
    <w:rsid w:val="00D5550B"/>
    <w:rsid w:val="00D611A3"/>
    <w:rsid w:val="00D630BD"/>
    <w:rsid w:val="00D7302E"/>
    <w:rsid w:val="00DA310F"/>
    <w:rsid w:val="00DD5195"/>
    <w:rsid w:val="00DE2E64"/>
    <w:rsid w:val="00DE7E29"/>
    <w:rsid w:val="00E22113"/>
    <w:rsid w:val="00E521EE"/>
    <w:rsid w:val="00E652E7"/>
    <w:rsid w:val="00E76025"/>
    <w:rsid w:val="00E763AE"/>
    <w:rsid w:val="00E921BD"/>
    <w:rsid w:val="00E929E8"/>
    <w:rsid w:val="00EA563B"/>
    <w:rsid w:val="00EC24F3"/>
    <w:rsid w:val="00ED501A"/>
    <w:rsid w:val="00ED52F5"/>
    <w:rsid w:val="00EE64BC"/>
    <w:rsid w:val="00F06488"/>
    <w:rsid w:val="00F27756"/>
    <w:rsid w:val="00F27D00"/>
    <w:rsid w:val="00F311A7"/>
    <w:rsid w:val="00F466FC"/>
    <w:rsid w:val="00F47564"/>
    <w:rsid w:val="00F71F93"/>
    <w:rsid w:val="00F73BDE"/>
    <w:rsid w:val="00F76B32"/>
    <w:rsid w:val="00F91BDA"/>
    <w:rsid w:val="00F93CCF"/>
    <w:rsid w:val="00FB7D50"/>
    <w:rsid w:val="00FC2A21"/>
    <w:rsid w:val="00FC6942"/>
    <w:rsid w:val="00FF25BC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C57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57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rsid w:val="00AB7E3A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8693E-958B-4FC5-9BB8-7ACD0824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Pages>9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28</cp:revision>
  <cp:lastPrinted>2019-07-25T14:10:00Z</cp:lastPrinted>
  <dcterms:created xsi:type="dcterms:W3CDTF">2016-08-04T06:22:00Z</dcterms:created>
  <dcterms:modified xsi:type="dcterms:W3CDTF">2020-07-28T08:09:00Z</dcterms:modified>
</cp:coreProperties>
</file>