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56" w:type="pct"/>
        <w:tblInd w:w="-2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834"/>
      </w:tblGrid>
      <w:tr w:rsidR="004C3B21" w:rsidTr="003F125A">
        <w:trPr>
          <w:trHeight w:val="132"/>
        </w:trPr>
        <w:tc>
          <w:tcPr>
            <w:tcW w:w="5000" w:type="pct"/>
            <w:shd w:val="clear" w:color="auto" w:fill="FFFFFF"/>
            <w:hideMark/>
          </w:tcPr>
          <w:p w:rsidR="004C3B21" w:rsidRPr="00045CA2" w:rsidRDefault="004C3B21" w:rsidP="00C33AB6">
            <w:pPr>
              <w:spacing w:line="240" w:lineRule="auto"/>
              <w:ind w:right="3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br/>
            </w:r>
            <w:r w:rsidRPr="004C3B21"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  <w:t xml:space="preserve">                                   </w:t>
            </w:r>
            <w:proofErr w:type="gramStart"/>
            <w:r w:rsidR="00045CA2" w:rsidRPr="00045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gramEnd"/>
            <w:r w:rsidR="00045CA2" w:rsidRPr="00045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 К Л Ю Ч Е Н И Е                                     </w:t>
            </w:r>
          </w:p>
          <w:p w:rsidR="004C3B21" w:rsidRPr="00045CA2" w:rsidRDefault="00045CA2" w:rsidP="00C33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КОНТРОЛЬНО-РЕВИЗИОННОЙ КОМИССИИ </w:t>
            </w:r>
          </w:p>
          <w:p w:rsidR="004C3B21" w:rsidRPr="00045CA2" w:rsidRDefault="00045CA2" w:rsidP="00C33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КУРКИНСКИЙ РАЙОН </w:t>
            </w:r>
          </w:p>
          <w:p w:rsidR="00D611A3" w:rsidRDefault="00045CA2" w:rsidP="00C33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>ОБ ИСПОЛНЕНИИ БЮДЖЕТА МО КУРКИНСКИЙ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C3B21" w:rsidRDefault="00045CA2" w:rsidP="00C33AB6">
            <w:pPr>
              <w:tabs>
                <w:tab w:val="left" w:pos="878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ЗА   ПОЛУГОДИЕ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16612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</w:t>
            </w:r>
          </w:p>
          <w:p w:rsidR="004C3B21" w:rsidRDefault="004C3B21" w:rsidP="00C33A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Заключение Контрольно-ревизионной комиссии на исполнение бюджета муниципального образования Куркинский район за I полугодие </w:t>
            </w:r>
            <w:r w:rsidR="0091661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подготовлено в соответствие требованиям Бюджетного Кодекса Российской Федерации, Положения о бюджетном процессе в муниципальном образовании Куркинский район, Положения о контрольно-ревизионной комиссии муниципального образования Куркинский район.</w:t>
            </w:r>
          </w:p>
          <w:p w:rsidR="004C3B21" w:rsidRDefault="004C3B21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Заключение подготовлено на основании результатов проведенного анализа материалов, представленных администрацией муниципального образования Куркинский район в Собрание представителей муниципального образования Куркинский  </w:t>
            </w:r>
          </w:p>
          <w:p w:rsidR="004C3B21" w:rsidRDefault="004C3B21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В составе отчета об исполнении бюджета муниципального образования Куркинский район за I полугодие </w:t>
            </w:r>
            <w:r w:rsidR="0091661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(далее по тексту – Отчет) имеется: Отчет на 01.07.</w:t>
            </w:r>
            <w:r w:rsidR="0091661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; постановление администрации муниципального образования Куркинский район от </w:t>
            </w:r>
            <w:r w:rsidR="0091661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.0</w:t>
            </w:r>
            <w:r w:rsidR="00D20ED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r w:rsidR="0091661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 № </w:t>
            </w:r>
            <w:r w:rsidR="0091661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478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«Об утверждении отчета об исполнении бюджета муниципального образования Куркинский район за I полугодие </w:t>
            </w:r>
            <w:r w:rsidR="0091661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 w:rsidR="00D20ED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».</w:t>
            </w:r>
          </w:p>
          <w:p w:rsidR="004C3B21" w:rsidRDefault="004C3B21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При подготовке заключения проведен анализ фактического исполнения бюджета муниципального образования Куркинский район (далее по тексту - Бюджет) по отношению к годовым бюджетным назначениям, утвержденным решением    Собрания    представителей    муниципального     образования Куркинский район от 2</w:t>
            </w:r>
            <w:r w:rsidR="001204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r w:rsidR="001204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r w:rsidR="0091661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г. № </w:t>
            </w:r>
            <w:r w:rsidR="001204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31-3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4C3B21" w:rsidRDefault="004C3B21" w:rsidP="00C33AB6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ОБЩАЯ ХАРАКТЕРИСТИКА ОТЧЕТА ОБ ИСПОЛНЕНИИ БЮДЖЕТА МУНИЦИПАЛЬНОГО ОБРАЗОВАНИЯ КУРКИНСКИЙ РАЙОН ЗА  ПОЛУГОДИЕ </w:t>
            </w:r>
            <w:r w:rsidR="0091661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ГОДА</w:t>
            </w:r>
          </w:p>
          <w:p w:rsidR="00A37725" w:rsidRPr="00997363" w:rsidRDefault="00A37725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</w:t>
            </w:r>
            <w:proofErr w:type="gramStart"/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Решением Собрания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представителей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 21.12.2018г №3-1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«О бюджете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 и плановый период 20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20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21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годов» (далее по тексту - Решение) утверждены основные характеристики бюджета на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год: по доходам в сумме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291046,5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рублей, по расходам в объеме 295546,5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тыс. рублей, дефицитом в сумме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4500,0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рублей.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proofErr w:type="gramEnd"/>
          </w:p>
          <w:p w:rsidR="0093547A" w:rsidRDefault="00D20EDD" w:rsidP="00C33AB6">
            <w:pPr>
              <w:suppressAutoHyphens/>
              <w:spacing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   Решением Собрания представителей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МО </w:t>
            </w:r>
            <w:r w:rsidR="00AC54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Куркинский </w:t>
            </w:r>
            <w:r w:rsidR="00AC54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район </w:t>
            </w:r>
            <w:r w:rsidR="00AC54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1204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от </w:t>
            </w:r>
            <w:r w:rsidR="00AC54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F2775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15</w:t>
            </w:r>
            <w:r w:rsidR="001204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.0</w:t>
            </w:r>
            <w:r w:rsidR="00F2775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</w:t>
            </w:r>
            <w:r w:rsidR="001204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r w:rsidR="0091661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 w:rsidR="00AC54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г. №</w:t>
            </w:r>
            <w:r w:rsidR="00F2775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6-9 </w:t>
            </w:r>
            <w:r w:rsidR="001204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внесены изменения и утверждены основные характеристики бюджета МО </w:t>
            </w:r>
            <w:r w:rsidR="0093547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Куркинский район:</w:t>
            </w:r>
          </w:p>
          <w:p w:rsidR="00F27756" w:rsidRPr="00F27756" w:rsidRDefault="00F27756" w:rsidP="00C33AB6">
            <w:pPr>
              <w:suppressAutoHyphens/>
              <w:spacing w:line="240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7756">
              <w:rPr>
                <w:rFonts w:ascii="Times New Roman" w:eastAsia="Calibri" w:hAnsi="Times New Roman" w:cs="Times New Roman"/>
                <w:sz w:val="28"/>
                <w:szCs w:val="28"/>
              </w:rPr>
              <w:t>1) Общий объем доходов бюджета района в сумме 385650,93968 тыс. руб.;</w:t>
            </w:r>
          </w:p>
          <w:p w:rsidR="00F27756" w:rsidRPr="00F27756" w:rsidRDefault="00F27756" w:rsidP="00C33AB6">
            <w:pPr>
              <w:suppressAutoHyphens/>
              <w:spacing w:line="240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7756">
              <w:rPr>
                <w:rFonts w:ascii="Times New Roman" w:eastAsia="Calibri" w:hAnsi="Times New Roman" w:cs="Times New Roman"/>
                <w:sz w:val="28"/>
                <w:szCs w:val="28"/>
              </w:rPr>
              <w:t>2) Общий объем расходов бюджета района в сумме 398304,84444 тыс. руб.;</w:t>
            </w:r>
          </w:p>
          <w:p w:rsidR="00F27756" w:rsidRPr="00F27756" w:rsidRDefault="00F27756" w:rsidP="00C33AB6">
            <w:pPr>
              <w:tabs>
                <w:tab w:val="left" w:pos="1222"/>
              </w:tabs>
              <w:suppressAutoHyphens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F27756">
              <w:rPr>
                <w:rFonts w:ascii="Times New Roman" w:eastAsia="Calibri" w:hAnsi="Times New Roman" w:cs="Times New Roman"/>
                <w:sz w:val="28"/>
                <w:szCs w:val="28"/>
              </w:rPr>
              <w:t>3) Размер дефицита бюджета района  в сумме -12653,90476 тыс. руб.».</w:t>
            </w:r>
          </w:p>
          <w:p w:rsidR="004C3B21" w:rsidRDefault="0093547A" w:rsidP="00C33AB6">
            <w:pPr>
              <w:spacing w:before="24" w:after="336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</w:t>
            </w:r>
            <w:r w:rsidR="00703E9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Кассовое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исполнение Бюджета за I полугодие </w:t>
            </w:r>
            <w:r w:rsidR="0091661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по дохода</w:t>
            </w:r>
            <w:r w:rsidR="000F0F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0F0F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составило </w:t>
            </w:r>
            <w:r w:rsidR="00F2775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149030,4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(</w:t>
            </w:r>
            <w:r w:rsidR="00F73BD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38,6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% к  </w:t>
            </w:r>
            <w:r w:rsidR="00E652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уточненному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плану), по расходам – </w:t>
            </w:r>
            <w:r w:rsidR="00F73BD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144810,1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(</w:t>
            </w:r>
            <w:r w:rsidR="00F73BD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36,4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% к </w:t>
            </w:r>
            <w:r w:rsidR="00E652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уточненному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плану).  Бюджет исполнен с </w:t>
            </w:r>
            <w:proofErr w:type="spellStart"/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профицитом</w:t>
            </w:r>
            <w:proofErr w:type="spellEnd"/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сумме </w:t>
            </w:r>
            <w:r w:rsidR="00F73BD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4220,3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рублей, </w:t>
            </w:r>
            <w:proofErr w:type="gramStart"/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сложившимся</w:t>
            </w:r>
            <w:proofErr w:type="gramEnd"/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за счёт  остатков собственных средств, неиспользованных субсидий и субвенций из бюджета Тульской области.</w:t>
            </w:r>
          </w:p>
          <w:p w:rsidR="004C3B21" w:rsidRDefault="004C3B21" w:rsidP="00C33AB6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АНАЛИЗ ДОХОДНОЙ ЧАСТИ БЮДЖЕТА</w:t>
            </w:r>
          </w:p>
          <w:p w:rsidR="004C3B21" w:rsidRDefault="004C3B21" w:rsidP="00C33AB6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Анализ </w:t>
            </w:r>
            <w:r w:rsidR="00E652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исполнения</w:t>
            </w:r>
            <w:r w:rsidR="00E652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доход</w:t>
            </w:r>
            <w:r w:rsidR="00E652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ной   части   Бюджета</w:t>
            </w:r>
            <w:r w:rsidR="0029212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="00E652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</w:t>
            </w:r>
            <w:r w:rsidR="00E921B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</w:t>
            </w:r>
            <w:r w:rsidR="00E652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I </w:t>
            </w:r>
            <w:r w:rsidR="00E921B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полугодие  </w:t>
            </w:r>
            <w:r w:rsidR="0091661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 w:rsidR="00E652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разрезе основных групп доходов.</w:t>
            </w:r>
          </w:p>
          <w:tbl>
            <w:tblPr>
              <w:tblStyle w:val="a3"/>
              <w:tblW w:w="9612" w:type="dxa"/>
              <w:tblInd w:w="1" w:type="dxa"/>
              <w:tblLayout w:type="fixed"/>
              <w:tblLook w:val="04A0"/>
            </w:tblPr>
            <w:tblGrid>
              <w:gridCol w:w="2487"/>
              <w:gridCol w:w="2061"/>
              <w:gridCol w:w="1763"/>
              <w:gridCol w:w="1903"/>
              <w:gridCol w:w="1398"/>
            </w:tblGrid>
            <w:tr w:rsidR="00554DB4" w:rsidTr="003F125A">
              <w:trPr>
                <w:trHeight w:val="1179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Утвержденные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 xml:space="preserve"> на </w:t>
                  </w:r>
                  <w:r w:rsidR="00916612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2019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 xml:space="preserve"> год, тыс. руб.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E652E7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Уточненный бюджет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Исполнение на 01.07</w:t>
                  </w:r>
                  <w:r w:rsidR="00554DB4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.</w:t>
                  </w:r>
                  <w:r w:rsidR="008002ED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201</w:t>
                  </w:r>
                  <w:r w:rsidR="00292123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9</w:t>
                  </w:r>
                  <w:r w:rsidR="00554DB4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г, тыс.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Исполне-но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.%</w:t>
                  </w:r>
                  <w:proofErr w:type="spellEnd"/>
                </w:p>
              </w:tc>
            </w:tr>
            <w:tr w:rsidR="00D5550B" w:rsidTr="003F125A">
              <w:trPr>
                <w:trHeight w:val="540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Default="00D5550B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Доходы, итого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Pr="00951EB9" w:rsidRDefault="00292123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291046,5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5550B" w:rsidRPr="00951EB9" w:rsidRDefault="00292123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385650,9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Default="006139D0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149030,4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Default="006143A3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38,6</w:t>
                  </w:r>
                </w:p>
              </w:tc>
            </w:tr>
            <w:tr w:rsidR="00D5550B" w:rsidTr="003F125A">
              <w:trPr>
                <w:trHeight w:val="827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Default="00D5550B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Pr="00951EB9" w:rsidRDefault="00292123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32777,0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5550B" w:rsidRPr="00951EB9" w:rsidRDefault="00292123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32777,0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Default="006139D0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15673,8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Default="00F27D00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47,8</w:t>
                  </w:r>
                </w:p>
              </w:tc>
            </w:tr>
            <w:tr w:rsidR="00D5550B" w:rsidTr="003F125A">
              <w:trPr>
                <w:trHeight w:val="726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Default="00D5550B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Акцизы по подакцизным товарам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Pr="00951EB9" w:rsidRDefault="00292123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21669,5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5550B" w:rsidRPr="00951EB9" w:rsidRDefault="00292123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21669,5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Default="00726334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11436,</w:t>
                  </w:r>
                  <w:r w:rsidR="00FC6942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Default="00F27D00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52,8</w:t>
                  </w:r>
                </w:p>
              </w:tc>
            </w:tr>
            <w:tr w:rsidR="00D5550B" w:rsidTr="003F125A">
              <w:trPr>
                <w:trHeight w:val="101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Default="00D5550B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Pr="00951EB9" w:rsidRDefault="00292123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4692,9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391" w:rsidRPr="00767391" w:rsidRDefault="00292123" w:rsidP="00C33A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6698,8</w:t>
                  </w:r>
                </w:p>
                <w:p w:rsidR="00D5550B" w:rsidRPr="00951EB9" w:rsidRDefault="00D5550B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Default="00726334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4198,6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Default="00F27D00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62,7</w:t>
                  </w:r>
                </w:p>
              </w:tc>
            </w:tr>
            <w:tr w:rsidR="00D5550B" w:rsidTr="003F125A">
              <w:trPr>
                <w:trHeight w:val="101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Default="00D5550B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Pr="00951EB9" w:rsidRDefault="00292123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14040,0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5550B" w:rsidRPr="00951EB9" w:rsidRDefault="00292123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14040,0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Default="00726334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4722,3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Default="00F27D00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33,6</w:t>
                  </w:r>
                </w:p>
              </w:tc>
            </w:tr>
            <w:tr w:rsidR="00257A4C" w:rsidTr="003F125A">
              <w:trPr>
                <w:trHeight w:val="101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257A4C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Pr="00951EB9" w:rsidRDefault="00292123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808</w:t>
                  </w:r>
                  <w:r w:rsidR="00257A4C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,5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57A4C" w:rsidRPr="00951EB9" w:rsidRDefault="00292123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808,5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726334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415</w:t>
                  </w:r>
                  <w:r w:rsidR="00FC6942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,9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F27D00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51,4</w:t>
                  </w:r>
                </w:p>
              </w:tc>
            </w:tr>
            <w:tr w:rsidR="00257A4C" w:rsidTr="003F125A">
              <w:trPr>
                <w:trHeight w:val="2303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257A4C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 xml:space="preserve">Доходы от использования имущества,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наход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 xml:space="preserve">.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гос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 xml:space="preserve">. 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муниц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. собственности, в т.ч.: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Pr="00951EB9" w:rsidRDefault="00292123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4940,5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57A4C" w:rsidRPr="00951EB9" w:rsidRDefault="00292123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5120,5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726334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2978,1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F27D00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58,2</w:t>
                  </w:r>
                </w:p>
              </w:tc>
            </w:tr>
            <w:tr w:rsidR="00257A4C" w:rsidTr="003F125A">
              <w:trPr>
                <w:trHeight w:val="780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257A4C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-доходы, получаемые в виде арендной платы муниципального имущества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Pr="007668B2" w:rsidRDefault="00292123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340</w:t>
                  </w:r>
                  <w:r w:rsidR="00257A4C" w:rsidRPr="007668B2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57A4C" w:rsidRPr="007668B2" w:rsidRDefault="00FF595E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350,5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Pr="008C2270" w:rsidRDefault="00FC6942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348,2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F27D00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99,3</w:t>
                  </w:r>
                </w:p>
              </w:tc>
            </w:tr>
            <w:tr w:rsidR="00257A4C" w:rsidTr="003F125A">
              <w:trPr>
                <w:trHeight w:val="1516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257A4C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-доходы, получаемые в виде арендной платы за земельные участки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Pr="00951EB9" w:rsidRDefault="00292123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46</w:t>
                  </w:r>
                  <w:r w:rsidR="00257A4C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00,5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57A4C" w:rsidRPr="00951EB9" w:rsidRDefault="00FF595E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4650,5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FC6942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2629,9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F27D00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56,6</w:t>
                  </w:r>
                </w:p>
              </w:tc>
            </w:tr>
            <w:tr w:rsidR="00257A4C" w:rsidTr="003F125A">
              <w:trPr>
                <w:trHeight w:val="498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257A4C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Платежи за пользование природными ресурсами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Pr="00951EB9" w:rsidRDefault="00292123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59,1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57A4C" w:rsidRPr="00951EB9" w:rsidRDefault="00FF595E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62,6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FC6942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65,6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F27D00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104,8</w:t>
                  </w:r>
                </w:p>
              </w:tc>
            </w:tr>
            <w:tr w:rsidR="00257A4C" w:rsidTr="003F125A">
              <w:trPr>
                <w:trHeight w:val="922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257A4C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 xml:space="preserve">Доходы от оказания платных услуг 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Pr="00951EB9" w:rsidRDefault="00292123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965</w:t>
                  </w:r>
                  <w:r w:rsidR="00257A4C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57A4C" w:rsidRPr="00951EB9" w:rsidRDefault="00FF595E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9703,9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FC6942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4800,0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F27D00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49,5</w:t>
                  </w:r>
                </w:p>
              </w:tc>
            </w:tr>
            <w:tr w:rsidR="00257A4C" w:rsidTr="003F125A">
              <w:trPr>
                <w:trHeight w:val="404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257A4C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Доходы от продажи материальных и нематериальных активов, в т.ч.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Pr="00951EB9" w:rsidRDefault="00257A4C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10</w:t>
                  </w:r>
                  <w:r w:rsidR="00292123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57A4C" w:rsidRPr="00951EB9" w:rsidRDefault="00FF595E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3817,5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FC6942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2610,4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F27D00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68</w:t>
                  </w:r>
                  <w:r w:rsidR="006518BC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,4</w:t>
                  </w:r>
                </w:p>
              </w:tc>
            </w:tr>
            <w:tr w:rsidR="00257A4C" w:rsidTr="003F125A">
              <w:trPr>
                <w:trHeight w:val="772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257A4C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-доходы от реализации имущества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Pr="007668B2" w:rsidRDefault="00292123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32</w:t>
                  </w:r>
                  <w:r w:rsidR="00257A4C" w:rsidRPr="007668B2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57A4C" w:rsidRPr="007668B2" w:rsidRDefault="00FF595E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631,5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Pr="00F27D00" w:rsidRDefault="00FC6942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 w:rsidRPr="00F27D00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566,2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Pr="00F27D00" w:rsidRDefault="00F27D00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 w:rsidRPr="00F27D00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89,7</w:t>
                  </w:r>
                </w:p>
              </w:tc>
            </w:tr>
            <w:tr w:rsidR="00257A4C" w:rsidTr="003F125A">
              <w:trPr>
                <w:trHeight w:val="692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257A4C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 доходы от продажи земельных участков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Pr="007668B2" w:rsidRDefault="00292123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71</w:t>
                  </w:r>
                  <w:r w:rsidR="00257A4C" w:rsidRPr="007668B2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57A4C" w:rsidRPr="007668B2" w:rsidRDefault="00FF595E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3186,0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Pr="00F27D00" w:rsidRDefault="00FC6942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 w:rsidRPr="00F27D00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2044,2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Pr="00F27D00" w:rsidRDefault="00F27D00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 w:rsidRPr="00F27D00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64,2</w:t>
                  </w:r>
                </w:p>
              </w:tc>
            </w:tr>
            <w:tr w:rsidR="00257A4C" w:rsidTr="003F125A">
              <w:trPr>
                <w:trHeight w:val="496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257A4C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Штрафные санкции, возмещение  ущерба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Pr="00951EB9" w:rsidRDefault="00292123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514,2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57A4C" w:rsidRPr="00951EB9" w:rsidRDefault="00FF595E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579,9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FC6942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362,0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F27D00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62,4</w:t>
                  </w:r>
                </w:p>
              </w:tc>
            </w:tr>
            <w:tr w:rsidR="00257A4C" w:rsidTr="003F125A">
              <w:trPr>
                <w:trHeight w:val="496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257A4C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257A4C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57A4C" w:rsidRPr="00951EB9" w:rsidRDefault="00FF595E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-32,3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FC6942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-20,5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6518BC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257A4C" w:rsidTr="003F125A">
              <w:trPr>
                <w:trHeight w:val="638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257A4C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Безвозмездные перечисления, в том числе: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Pr="00951EB9" w:rsidRDefault="00292123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200859,8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57A4C" w:rsidRPr="00025CD9" w:rsidRDefault="00FF595E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  <w:t>292531,4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6143A3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103913,8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F27D00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35,5</w:t>
                  </w:r>
                </w:p>
              </w:tc>
            </w:tr>
            <w:tr w:rsidR="00E929E8" w:rsidTr="003F125A">
              <w:trPr>
                <w:trHeight w:val="638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29E8" w:rsidRDefault="00E929E8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-дотации 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29E8" w:rsidRPr="007668B2" w:rsidRDefault="00292123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51712,7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929E8" w:rsidRPr="00F06488" w:rsidRDefault="00FF595E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51712,7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29E8" w:rsidRDefault="00CF5BEB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25856,3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29E8" w:rsidRDefault="00F27D00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</w:tr>
            <w:tr w:rsidR="00257A4C" w:rsidTr="003F125A">
              <w:trPr>
                <w:trHeight w:val="472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257A4C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-субсидии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Pr="00951EB9" w:rsidRDefault="00292123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2443,7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57A4C" w:rsidRPr="00F06488" w:rsidRDefault="00FF595E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89756,2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Pr="00E929E8" w:rsidRDefault="00CF5BEB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6222,7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Pr="006518BC" w:rsidRDefault="00F27D00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6,9</w:t>
                  </w:r>
                </w:p>
              </w:tc>
            </w:tr>
            <w:tr w:rsidR="00257A4C" w:rsidTr="003F125A">
              <w:trPr>
                <w:trHeight w:val="472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257A4C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-субвенции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Pr="007668B2" w:rsidRDefault="00292123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139905,3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57A4C" w:rsidRPr="00F06488" w:rsidRDefault="00FF595E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139331,5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Pr="00E929E8" w:rsidRDefault="00CF5BEB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66388,4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Pr="006518BC" w:rsidRDefault="00F27D00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47,6</w:t>
                  </w:r>
                </w:p>
              </w:tc>
            </w:tr>
            <w:tr w:rsidR="00D5550B" w:rsidTr="003F125A">
              <w:trPr>
                <w:trHeight w:val="877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Default="00D5550B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-иные межбюджетные трансферты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Default="00292123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6742,1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5550B" w:rsidRPr="007668B2" w:rsidRDefault="00FF595E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8846,6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Pr="00E929E8" w:rsidRDefault="00CF5BEB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2641,2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Pr="006518BC" w:rsidRDefault="00F27D00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29,9</w:t>
                  </w:r>
                </w:p>
              </w:tc>
            </w:tr>
            <w:tr w:rsidR="00554DB4" w:rsidTr="003F125A">
              <w:trPr>
                <w:trHeight w:val="530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-прочие безвозмездные 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Pr="00F06488" w:rsidRDefault="00FF595E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0</w:t>
                  </w:r>
                  <w:r w:rsidR="00E652E7" w:rsidRPr="00F0648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Pr="00F06488" w:rsidRDefault="00FF595E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2630,5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Pr="00E929E8" w:rsidRDefault="006143A3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2564,5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Pr="006518BC" w:rsidRDefault="00F27D00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97,5</w:t>
                  </w:r>
                </w:p>
              </w:tc>
            </w:tr>
            <w:tr w:rsidR="00554DB4" w:rsidTr="003F125A">
              <w:trPr>
                <w:trHeight w:val="555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-пожертвования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Pr="00F06488" w:rsidRDefault="00FF595E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56</w:t>
                  </w:r>
                  <w:r w:rsidR="00E652E7" w:rsidRPr="00F0648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Pr="00F06488" w:rsidRDefault="00FF595E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253,9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CF5BEB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240,7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F27D00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94,8</w:t>
                  </w:r>
                </w:p>
              </w:tc>
            </w:tr>
            <w:tr w:rsidR="00554DB4" w:rsidTr="003F125A">
              <w:trPr>
                <w:trHeight w:val="132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Pr="00F06488" w:rsidRDefault="00F06488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В</w:t>
                  </w:r>
                  <w:r w:rsidR="00E652E7" w:rsidRPr="00F06488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озврат остатков, имеющих целевое назначение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Pr="00F06488" w:rsidRDefault="00E652E7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F06488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Pr="00F06488" w:rsidRDefault="00FF595E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-2126,4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Pr="00F06488" w:rsidRDefault="00CF5BEB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-2126,4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Pr="00F06488" w:rsidRDefault="006518BC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100,0</w:t>
                  </w:r>
                </w:p>
              </w:tc>
            </w:tr>
          </w:tbl>
          <w:p w:rsidR="004C3B21" w:rsidRDefault="004C3B21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</w:t>
            </w:r>
          </w:p>
          <w:p w:rsidR="004C3B21" w:rsidRDefault="004C3B21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Исполнение Бюджета в первом полугоди</w:t>
            </w:r>
            <w:r w:rsidR="002228D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91661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</w:t>
            </w:r>
            <w:r w:rsidR="009C323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38,6  </w:t>
            </w:r>
            <w:r w:rsidR="006518B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процента (</w:t>
            </w:r>
            <w:r w:rsidR="009C323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48,4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процентов</w:t>
            </w:r>
            <w:r w:rsidR="006518B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первом полугодии 201</w:t>
            </w:r>
            <w:r w:rsidR="009C323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</w:t>
            </w:r>
            <w:r w:rsidR="006518B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года)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. От плановых назначений более </w:t>
            </w:r>
            <w:r w:rsidR="002228D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50,0</w:t>
            </w:r>
            <w:r w:rsidR="009C323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 составило по семи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доходны</w:t>
            </w:r>
            <w:r w:rsidR="004156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источник</w:t>
            </w:r>
            <w:r w:rsidR="004156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: </w:t>
            </w:r>
            <w:r w:rsidR="009C323D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акцизы по подакцизным товарам,</w:t>
            </w:r>
            <w:r w:rsidR="009C323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9C323D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налоги на совокупный доход,</w:t>
            </w:r>
            <w:r w:rsidR="009C323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4156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госпошлина</w:t>
            </w:r>
            <w:r w:rsidR="009C323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</w:t>
            </w:r>
            <w:r w:rsidR="009C323D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 xml:space="preserve"> платежи за пользование природными ресурсами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доходы от сдачи в аренду муниципального имущества; доходы  от реализации муниципального  имущества; </w:t>
            </w:r>
            <w:r w:rsidR="009C323D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штрафные санкции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4C3B21" w:rsidRDefault="004C3B21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 В целом налоговые и неналоговые доходы поступили    в  объеме </w:t>
            </w:r>
            <w:r w:rsidR="009C323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47242,9</w:t>
            </w:r>
            <w:r w:rsidR="004156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</w:t>
            </w:r>
            <w:r w:rsidR="009C323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r w:rsidR="004156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рублей (</w:t>
            </w:r>
            <w:r w:rsidR="009C323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40248,5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</w:t>
            </w:r>
            <w:r w:rsidR="004156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201</w:t>
            </w:r>
            <w:r w:rsidR="009C323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</w:t>
            </w:r>
            <w:r w:rsidR="004156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году)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при запланированной сумме </w:t>
            </w:r>
            <w:r w:rsidR="009C323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95245,9</w:t>
            </w:r>
            <w:r w:rsidR="004156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(</w:t>
            </w:r>
            <w:r w:rsidR="009C323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85942,2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</w:t>
            </w:r>
            <w:r w:rsidR="004156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201</w:t>
            </w:r>
            <w:r w:rsidR="009C323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 год</w:t>
            </w:r>
            <w:r w:rsidR="004156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у)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. Исполнение составило </w:t>
            </w:r>
            <w:r w:rsidR="009C323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49,6</w:t>
            </w:r>
            <w:r w:rsidR="004156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 (</w:t>
            </w:r>
            <w:r w:rsidR="009C323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46,8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</w:t>
            </w:r>
            <w:r w:rsidR="004156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201</w:t>
            </w:r>
            <w:r w:rsidR="009C323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</w:t>
            </w:r>
            <w:r w:rsidR="004156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году)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415678" w:rsidRDefault="00415678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 </w:t>
            </w:r>
            <w:r w:rsidR="009C323D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Отмечается низкий уровень поступлений </w:t>
            </w:r>
            <w:r w:rsidRPr="00415678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доход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ов</w:t>
            </w:r>
            <w:r w:rsidRPr="00415678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, получаемы</w:t>
            </w:r>
            <w:r w:rsidR="00BA6770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х</w:t>
            </w:r>
            <w:r w:rsidRPr="00415678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9C323D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от налога на имущество</w:t>
            </w:r>
            <w:r w:rsidR="00BA6770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(32,4%). Невыполнение плана составило более </w:t>
            </w:r>
            <w:r w:rsidR="009C323D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38</w:t>
            </w:r>
            <w:r w:rsidR="00BA6770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0,0 тыс. рублей.</w:t>
            </w:r>
          </w:p>
          <w:p w:rsidR="00BA6770" w:rsidRPr="00415678" w:rsidRDefault="00BA6770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4C3B21" w:rsidRDefault="004C3B21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                АНАЛИЗ   РАСХОДНОЙ  ЧАСТИ  БЮДЖЕТА</w:t>
            </w:r>
          </w:p>
          <w:p w:rsidR="004C3B21" w:rsidRDefault="004C3B21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Бюджет за 1 полугодие </w:t>
            </w:r>
            <w:r w:rsidR="0091661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исполнен по расходам в сумме </w:t>
            </w:r>
            <w:r w:rsidR="00FB7D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144810,1</w:t>
            </w:r>
            <w:r w:rsidR="007779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(</w:t>
            </w:r>
            <w:r w:rsidR="00FB7D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132123,4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</w:t>
            </w:r>
            <w:r w:rsidR="007779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201</w:t>
            </w:r>
            <w:r w:rsidR="00FB7D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</w:t>
            </w:r>
            <w:r w:rsidR="007779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году)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при годовых плановых назначениях </w:t>
            </w:r>
            <w:r w:rsidR="00FB7D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398304,8</w:t>
            </w:r>
            <w:r w:rsidR="007779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BF098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на </w:t>
            </w:r>
            <w:r w:rsidR="00FB7D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36,4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     Кассовое исполнение Бюджета по разделам составило:</w:t>
            </w:r>
          </w:p>
          <w:p w:rsidR="004C3B21" w:rsidRDefault="004C3B21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«Общегосударственные вопросы»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FB7D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19626,0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FB7D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37876,2</w:t>
            </w:r>
            <w:r w:rsidR="00C5690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тыс. рублей или </w:t>
            </w:r>
            <w:r w:rsidR="00FB7D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51,8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4C3B21" w:rsidRDefault="004C3B21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«Национальная оборона»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FB7D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245,9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FB7D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524,1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FB7D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46,9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4C3B21" w:rsidRDefault="004C3B21" w:rsidP="00C33AB6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«Национальная безопасность и правоохранительная деятельность»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FB7D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1771,8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FB7D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3562,7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тыс. рублей или </w:t>
            </w:r>
            <w:r w:rsidR="00FB7D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49,7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4C3B21" w:rsidRDefault="004C3B21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«Национальная экономика»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исполнение при плане </w:t>
            </w:r>
            <w:r w:rsidR="00936E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82836,2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составило </w:t>
            </w:r>
            <w:r w:rsidR="00936E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657,0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рублей</w:t>
            </w:r>
            <w:r w:rsidR="007C1B3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или </w:t>
            </w:r>
            <w:r w:rsidR="00936E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0,8</w:t>
            </w:r>
            <w:r w:rsidR="007C1B3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r w:rsidR="007C1B3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Освоение средств муниципального дорожного фонда, который составляет </w:t>
            </w:r>
            <w:r w:rsidR="00F311A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95,</w:t>
            </w:r>
            <w:r w:rsidR="00936E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 от общей суммы раздела, планируется на 2-</w:t>
            </w:r>
            <w:r w:rsidR="00C5690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C5690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олугодие текущего года;</w:t>
            </w:r>
          </w:p>
          <w:p w:rsidR="004C3B21" w:rsidRDefault="004C3B21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«Жилищно-коммунальное хозяйство»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936E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1812,5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годовых назначениях </w:t>
            </w:r>
            <w:r w:rsidR="00936E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30151,2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936E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 Освоение плановых назначений по подразделу «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жилищ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ное хозяйство»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составило </w:t>
            </w:r>
            <w:r w:rsidR="00936E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0,0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рублей, по разделу «коммунальное хозяйство» освоено </w:t>
            </w:r>
            <w:r w:rsidR="00936E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1812,5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936E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21702,8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рублей, что составляет </w:t>
            </w:r>
            <w:r w:rsidR="00936E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8,6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%. По разделу «благоустройство» </w:t>
            </w:r>
            <w:r w:rsidR="002763F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расходы запланированы</w:t>
            </w:r>
            <w:r w:rsidR="00F311A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сумме </w:t>
            </w:r>
            <w:r w:rsidR="00936E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7311,9</w:t>
            </w:r>
            <w:r w:rsidR="00F311A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рублей, освоение 0,0 рублей.</w:t>
            </w:r>
          </w:p>
          <w:p w:rsidR="004C3B21" w:rsidRDefault="004C3B21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«Образование»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936E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96500,8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</w:t>
            </w:r>
            <w:r w:rsidR="00936E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при </w:t>
            </w:r>
            <w:r w:rsidR="00936E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годовых назначениях </w:t>
            </w:r>
            <w:r w:rsidR="00936E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199044,2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936E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48,5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процента, в том числе по дошкольному образованию освоение составило </w:t>
            </w:r>
            <w:r w:rsidR="00FC2A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44,</w:t>
            </w:r>
            <w:r w:rsidR="00936E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</w:t>
            </w:r>
            <w:r w:rsidR="005E0A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 по общему образованию </w:t>
            </w:r>
            <w:r w:rsidR="00936E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49,5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%,</w:t>
            </w:r>
            <w:r w:rsidR="005E0A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дополнительному образованию детей  </w:t>
            </w:r>
            <w:r w:rsidR="00936E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40,8</w:t>
            </w:r>
            <w:r w:rsidR="005E0A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%, 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по «молодежной политике» освоение равно </w:t>
            </w:r>
            <w:r w:rsidR="00936E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78,0</w:t>
            </w:r>
            <w:r w:rsidR="006C23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%; раздел «другие вопросы в области образования» осво</w:t>
            </w:r>
            <w:r w:rsidR="005E0A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ен на </w:t>
            </w:r>
            <w:r w:rsidR="006C23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сумму </w:t>
            </w:r>
            <w:r w:rsidR="00046E5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4754,0</w:t>
            </w:r>
            <w:r w:rsidR="004E67D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6C23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4E67D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</w:t>
            </w:r>
            <w:r w:rsidR="00046E5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</w:t>
            </w:r>
            <w:r w:rsidR="004E67D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,8</w:t>
            </w:r>
            <w:r w:rsidR="006C23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046E59" w:rsidRDefault="00046E59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4C3B21" w:rsidRDefault="004C3B21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- </w:t>
            </w:r>
            <w:r w:rsidR="005E0A1B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«Культура,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кинематография»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046E5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13370,5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046E5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27188,0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046E5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49,2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4C3B21" w:rsidRDefault="004C3B21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«Социальная политика»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046E5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6403,4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</w:t>
            </w:r>
            <w:r w:rsidR="00B045C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при плане </w:t>
            </w:r>
            <w:r w:rsidR="00046E5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8274,7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046E5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77,4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процент. </w:t>
            </w:r>
          </w:p>
          <w:p w:rsidR="004C3B21" w:rsidRDefault="004C3B21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«Физическая культура и спорт»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046E5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122,5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046E5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150,0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ублей или </w:t>
            </w:r>
            <w:r w:rsidR="00046E5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81,7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 </w:t>
            </w:r>
          </w:p>
          <w:p w:rsidR="004C3B21" w:rsidRDefault="004C3B21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 xml:space="preserve">«Средства массовой информации» - </w:t>
            </w:r>
            <w:r w:rsidR="00046E5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75,6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уб. при плане </w:t>
            </w:r>
            <w:r w:rsidR="00046E5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25</w:t>
            </w:r>
            <w:r w:rsidR="005E0A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тыс.руб. или </w:t>
            </w:r>
            <w:r w:rsidR="00046E5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30,2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 </w:t>
            </w:r>
          </w:p>
          <w:p w:rsidR="006C23F6" w:rsidRDefault="006C23F6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</w:t>
            </w:r>
            <w:r w:rsidR="00046E59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М</w:t>
            </w:r>
            <w:r w:rsidRPr="00050066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ежбюджетные трансферты</w:t>
            </w:r>
            <w:r w:rsidR="00E521EE" w:rsidRPr="00050066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 xml:space="preserve"> общего характера бюджетам  бюджетной системы РФ</w:t>
            </w:r>
            <w:r w:rsidR="00E521E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переданы на сумму </w:t>
            </w:r>
            <w:r w:rsidR="00046E5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4224,1</w:t>
            </w:r>
            <w:r w:rsidR="00E521E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046E5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8447,5</w:t>
            </w:r>
            <w:r w:rsidR="00E521E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(</w:t>
            </w:r>
            <w:r w:rsidR="00046E5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50,0</w:t>
            </w:r>
            <w:r w:rsidR="00E521E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%), в том числе дотации бюджетам сельский и городского поселений  </w:t>
            </w:r>
            <w:r w:rsidR="00046E5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4224,1</w:t>
            </w:r>
            <w:r w:rsidR="00E521E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рублей.</w:t>
            </w:r>
            <w:r w:rsidR="000500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Субсидии бюджетам  поселений не передавались.</w:t>
            </w:r>
          </w:p>
          <w:p w:rsidR="00CA7BB4" w:rsidRDefault="00CA7BB4" w:rsidP="00C33AB6">
            <w:pPr>
              <w:tabs>
                <w:tab w:val="left" w:pos="3330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</w:t>
            </w:r>
            <w:r w:rsidR="009166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2019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году в МО Куркинский район реализ</w:t>
            </w:r>
            <w:r w:rsidR="00564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ются 1</w:t>
            </w:r>
            <w:r w:rsidR="00D43B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муниципальных программ.</w:t>
            </w:r>
          </w:p>
          <w:tbl>
            <w:tblPr>
              <w:tblpPr w:leftFromText="180" w:rightFromText="180" w:bottomFromText="200" w:vertAnchor="text" w:horzAnchor="margin" w:tblpXSpec="center" w:tblpY="111"/>
              <w:tblW w:w="9607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856"/>
              <w:gridCol w:w="1450"/>
              <w:gridCol w:w="1436"/>
              <w:gridCol w:w="1435"/>
              <w:gridCol w:w="1430"/>
            </w:tblGrid>
            <w:tr w:rsidR="00F71F93" w:rsidTr="003F125A">
              <w:trPr>
                <w:trHeight w:val="144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F71F93" w:rsidP="00C33AB6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Название программы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33AB6">
                  <w:pPr>
                    <w:spacing w:line="240" w:lineRule="auto"/>
                    <w:ind w:firstLine="34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План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на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</w:p>
                <w:p w:rsidR="00F71F93" w:rsidRDefault="00F71F93" w:rsidP="00C33AB6">
                  <w:pPr>
                    <w:spacing w:line="240" w:lineRule="auto"/>
                    <w:ind w:firstLine="34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201</w:t>
                  </w:r>
                  <w:r w:rsidR="00D43BA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9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г.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F71F93" w:rsidP="00C33AB6">
                  <w:pPr>
                    <w:spacing w:line="240" w:lineRule="auto"/>
                    <w:ind w:firstLine="34"/>
                    <w:jc w:val="both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Уточнен-</w:t>
                  </w:r>
                </w:p>
                <w:p w:rsidR="00F71F93" w:rsidRDefault="00F71F93" w:rsidP="00C33AB6">
                  <w:pPr>
                    <w:spacing w:line="240" w:lineRule="auto"/>
                    <w:ind w:firstLine="34"/>
                    <w:jc w:val="both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ный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план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33AB6">
                  <w:pPr>
                    <w:spacing w:line="240" w:lineRule="auto"/>
                    <w:ind w:firstLine="34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Исполнение за полугодие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33AB6">
                  <w:pPr>
                    <w:spacing w:line="240" w:lineRule="auto"/>
                    <w:ind w:firstLine="175"/>
                    <w:jc w:val="both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% исполнения</w:t>
                  </w:r>
                </w:p>
              </w:tc>
            </w:tr>
            <w:tr w:rsidR="00F71F93" w:rsidTr="003F125A">
              <w:trPr>
                <w:trHeight w:val="704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33AB6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1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"Развитие образования в муниципальном образовании Куркинский район"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D43BA7" w:rsidP="00C33AB6">
                  <w:pPr>
                    <w:spacing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186261,1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0A584A" w:rsidP="00C33AB6">
                  <w:pPr>
                    <w:spacing w:line="240" w:lineRule="auto"/>
                    <w:ind w:firstLine="34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191377,9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4B3157" w:rsidP="00C33AB6">
                  <w:pPr>
                    <w:spacing w:line="240" w:lineRule="auto"/>
                    <w:ind w:firstLine="34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92538,6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4B3157" w:rsidP="00C33AB6">
                  <w:pPr>
                    <w:spacing w:line="240" w:lineRule="auto"/>
                    <w:ind w:firstLine="33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48,4</w:t>
                  </w:r>
                </w:p>
              </w:tc>
            </w:tr>
            <w:tr w:rsidR="00F71F93" w:rsidTr="003F125A">
              <w:trPr>
                <w:trHeight w:val="144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33AB6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2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"Развитие культуры и туризма в муниципальном образовании Куркинский район"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D43BA7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30264,4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0A584A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31221,4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4B3157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15017,3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4B3157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48,1</w:t>
                  </w:r>
                </w:p>
              </w:tc>
            </w:tr>
            <w:tr w:rsidR="00F71F93" w:rsidTr="003F125A">
              <w:trPr>
                <w:trHeight w:val="144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33AB6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3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"Развитие физической культуры, спорта и повышение эффективности реализации молодежной политики в муниципальном образовании Куркинский район"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D43BA7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829,5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0A584A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5473,5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4B3157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5400,3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4B3157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98,7</w:t>
                  </w:r>
                </w:p>
              </w:tc>
            </w:tr>
            <w:tr w:rsidR="00F71F93" w:rsidTr="003F125A">
              <w:trPr>
                <w:trHeight w:val="144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33AB6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4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"Социальная поддержка и социальное обслуживание населения муниципального образования Куркинский район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501,0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F71F93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501,0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4B3157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200,6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4B3157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40</w:t>
                  </w:r>
                  <w:r w:rsidR="007F7164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,0</w:t>
                  </w:r>
                </w:p>
              </w:tc>
            </w:tr>
            <w:tr w:rsidR="00F71F93" w:rsidTr="003F125A">
              <w:trPr>
                <w:trHeight w:val="144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33AB6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5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 xml:space="preserve">МП "Улучшение демографической ситуации и поддержка семей,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воспитывающих детей, в муниципальном образовании Куркинский район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D43BA7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1482,9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0A584A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1624,4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4B3157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1314,7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4B3157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80,9</w:t>
                  </w:r>
                </w:p>
              </w:tc>
            </w:tr>
            <w:tr w:rsidR="00F71F93" w:rsidTr="003F125A">
              <w:trPr>
                <w:trHeight w:val="144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33AB6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7F7164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lastRenderedPageBreak/>
                    <w:t xml:space="preserve">6 </w:t>
                  </w:r>
                  <w:r w:rsidRPr="007F716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МП "Развитие сельского хозяйства муниципального образования Куркинский район"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D43BA7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100</w:t>
                  </w:r>
                  <w:r w:rsidR="007F7164">
                    <w:rPr>
                      <w:rFonts w:ascii="Times New Roman" w:hAnsi="Times New Roman" w:cs="Times New Roman"/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0A584A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903,1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7F7164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7F7164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D43BA7" w:rsidTr="003F125A">
              <w:trPr>
                <w:trHeight w:val="144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43BA7" w:rsidRPr="007F7164" w:rsidRDefault="00D43BA7" w:rsidP="00C33AB6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7  МП « Обеспечение качественным жильем и услугами ЖКХ населения муниципального образования Куркинский район»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43BA7" w:rsidRDefault="00D43BA7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800,0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BA7" w:rsidRDefault="000A584A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9674,9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43BA7" w:rsidRDefault="004B3157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12,5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43BA7" w:rsidRDefault="004B3157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0,1</w:t>
                  </w:r>
                </w:p>
              </w:tc>
            </w:tr>
            <w:tr w:rsidR="00F71F93" w:rsidTr="003F125A">
              <w:trPr>
                <w:trHeight w:val="144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33AB6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8  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«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Энергоэффективность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 xml:space="preserve"> муниципального образования Куркинский район"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33AB6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100,0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F71F93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100,0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F71F93" w:rsidTr="003F125A">
              <w:trPr>
                <w:trHeight w:val="144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F71F93" w:rsidP="00C33AB6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10 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"Модернизация и развитие автомобильных дорог общего пользования в муниципальном образовании Куркинский район"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D43BA7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21689,1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0A584A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75697,3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4B3157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77,7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</w:t>
                  </w:r>
                  <w:r w:rsidR="004B3157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</w:tr>
            <w:tr w:rsidR="00F71F93" w:rsidTr="003F125A">
              <w:trPr>
                <w:trHeight w:val="144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F71F93" w:rsidP="00C33AB6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11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"Развитие малого и среднего предпринимательства в муниципальном образовании Куркинский район"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20,0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F71F93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20,0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F71F93" w:rsidTr="003F125A">
              <w:trPr>
                <w:trHeight w:val="144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F71F93" w:rsidP="00C33AB6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12 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"Управление муниципальными финансами муниципального образования Куркинский район"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D43BA7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13423,2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0A584A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13470,5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4B3157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6526,5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7F7164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48,</w:t>
                  </w:r>
                  <w:r w:rsidR="004B3157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</w:tr>
            <w:tr w:rsidR="00F71F93" w:rsidTr="003F125A">
              <w:trPr>
                <w:trHeight w:val="1787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F71F93" w:rsidP="00C33AB6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13 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"Повышение общественной безопасности населения и развития местного самоуправления муниципального образования Куркинский район"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D43BA7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412,8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0A584A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412,8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4B3157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69,5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4B3157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16,8</w:t>
                  </w:r>
                </w:p>
              </w:tc>
            </w:tr>
            <w:tr w:rsidR="00F71F93" w:rsidTr="003F125A">
              <w:trPr>
                <w:trHeight w:val="144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F71F93" w:rsidP="00C33AB6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14 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"Защита населения и территории муниципального образования Куркинский район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D43BA7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2436,0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0A584A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2436,0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4B3157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1222,6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4B3157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50,2</w:t>
                  </w:r>
                </w:p>
              </w:tc>
            </w:tr>
            <w:tr w:rsidR="00F71F93" w:rsidTr="003F125A">
              <w:trPr>
                <w:trHeight w:val="144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F71F93" w:rsidP="00C33AB6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15 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 xml:space="preserve">МП "Управление муниципальным имуществом и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земельными ресурсами муниципального образования Куркинский район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lastRenderedPageBreak/>
                    <w:t>559,1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0A584A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759,1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4B3157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69,9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4B3157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9,2</w:t>
                  </w:r>
                </w:p>
              </w:tc>
            </w:tr>
            <w:tr w:rsidR="00F71F93" w:rsidTr="003F125A">
              <w:trPr>
                <w:trHeight w:val="1081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F71F93" w:rsidP="00C33AB6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lastRenderedPageBreak/>
                    <w:t xml:space="preserve">16 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"Информационная политика в муниципальном образовании Куркинский район"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D43BA7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25</w:t>
                  </w:r>
                  <w:r w:rsidR="00F71F93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0A584A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250,0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4B3157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49,4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4B3157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19,8</w:t>
                  </w:r>
                </w:p>
              </w:tc>
            </w:tr>
            <w:tr w:rsidR="00F71F93" w:rsidTr="003F125A">
              <w:trPr>
                <w:trHeight w:val="1059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F71F93" w:rsidP="00C33AB6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17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"Развитие контрактной системы в муниципальном образовании Куркинский район"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30,0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F71F93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30,0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4B3157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18</w:t>
                  </w:r>
                  <w:r w:rsidR="00F71F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4B3157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60,</w:t>
                  </w:r>
                  <w:r w:rsidR="00F71F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</w:tr>
            <w:tr w:rsidR="00F71F93" w:rsidTr="003F125A">
              <w:trPr>
                <w:trHeight w:val="1037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F71F93" w:rsidP="00C33AB6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18 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 Развитие архивного дела в муниципальном образовании Куркинский район"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D43BA7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20,0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0A584A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20,0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4B3157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19,9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4B3157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99,5</w:t>
                  </w:r>
                </w:p>
              </w:tc>
            </w:tr>
            <w:tr w:rsidR="00D43BA7" w:rsidTr="003F125A">
              <w:trPr>
                <w:trHeight w:val="1037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BA7" w:rsidRDefault="00D43BA7" w:rsidP="00C33AB6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20 МП «Формирование современной городской среды в  муниципальном образовании Куркинский район на 2018-2022 годы» 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43BA7" w:rsidRDefault="00D43BA7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800,0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3BA7" w:rsidRDefault="000A584A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10618,4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43BA7" w:rsidRDefault="004B3157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32,0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43BA7" w:rsidRDefault="00AC5713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0,3</w:t>
                  </w:r>
                </w:p>
              </w:tc>
            </w:tr>
            <w:tr w:rsidR="00F71F93" w:rsidTr="003F125A">
              <w:trPr>
                <w:trHeight w:val="388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F71F93" w:rsidP="00C33AB6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D43BA7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259989,0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0A584A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344600,1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4B3157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122569,5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4B3157" w:rsidP="00C33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35,6</w:t>
                  </w:r>
                </w:p>
              </w:tc>
            </w:tr>
          </w:tbl>
          <w:p w:rsidR="003F125A" w:rsidRDefault="0036135B" w:rsidP="00C33A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ысоким процентом освоения денежных средств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 xml:space="preserve"> можно отметить программы №1,2,</w:t>
            </w:r>
            <w:r w:rsidR="00AC57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125A">
              <w:rPr>
                <w:rFonts w:ascii="Times New Roman" w:hAnsi="Times New Roman" w:cs="Times New Roman"/>
                <w:sz w:val="28"/>
                <w:szCs w:val="28"/>
              </w:rPr>
              <w:t>,5,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5713">
              <w:rPr>
                <w:rFonts w:ascii="Times New Roman" w:hAnsi="Times New Roman" w:cs="Times New Roman"/>
                <w:sz w:val="28"/>
                <w:szCs w:val="28"/>
              </w:rPr>
              <w:t>2,14,17,18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 xml:space="preserve"> Другие программы освоены не более 0,0 % или не финансировались вовсе. Общая сумма освоения действующих программ составила </w:t>
            </w:r>
            <w:r w:rsidR="00AC5713">
              <w:rPr>
                <w:rFonts w:ascii="Times New Roman" w:hAnsi="Times New Roman" w:cs="Times New Roman"/>
                <w:sz w:val="28"/>
                <w:szCs w:val="28"/>
              </w:rPr>
              <w:t>122569,5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или </w:t>
            </w:r>
            <w:r w:rsidR="00AC5713">
              <w:rPr>
                <w:rFonts w:ascii="Times New Roman" w:hAnsi="Times New Roman" w:cs="Times New Roman"/>
                <w:sz w:val="28"/>
                <w:szCs w:val="28"/>
              </w:rPr>
              <w:t>35,6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>% (для сравнения в 201</w:t>
            </w:r>
            <w:r w:rsidR="00AC57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 xml:space="preserve"> году освоение программ составило </w:t>
            </w:r>
            <w:r w:rsidR="003F125A">
              <w:rPr>
                <w:rFonts w:ascii="Times New Roman" w:hAnsi="Times New Roman" w:cs="Times New Roman"/>
                <w:sz w:val="28"/>
                <w:szCs w:val="28"/>
              </w:rPr>
              <w:t>45,</w:t>
            </w:r>
            <w:r w:rsidR="00AC57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 xml:space="preserve">% или </w:t>
            </w:r>
            <w:r w:rsidR="00AC5713">
              <w:rPr>
                <w:rFonts w:ascii="Times New Roman" w:hAnsi="Times New Roman" w:cs="Times New Roman"/>
                <w:sz w:val="28"/>
                <w:szCs w:val="28"/>
              </w:rPr>
              <w:t>114355,9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рублей). </w:t>
            </w:r>
          </w:p>
          <w:p w:rsidR="00CA7BB4" w:rsidRDefault="003F125A" w:rsidP="00C33A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 xml:space="preserve">нагрузка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>на второе полугодие</w:t>
            </w:r>
            <w:r w:rsidR="0080065F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</w:t>
            </w:r>
            <w:r w:rsidR="00AC5713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="00800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713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  <w:r w:rsidR="0080065F">
              <w:rPr>
                <w:rFonts w:ascii="Times New Roman" w:hAnsi="Times New Roman" w:cs="Times New Roman"/>
                <w:sz w:val="28"/>
                <w:szCs w:val="28"/>
              </w:rPr>
              <w:t>,0 млн.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что больше финансовой нагрузки первого полугодия  на </w:t>
            </w:r>
            <w:r w:rsidR="00AC5713">
              <w:rPr>
                <w:rFonts w:ascii="Times New Roman" w:hAnsi="Times New Roman" w:cs="Times New Roman"/>
                <w:sz w:val="28"/>
                <w:szCs w:val="28"/>
              </w:rPr>
              <w:t>81,1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8006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5713" w:rsidRDefault="00AC5713" w:rsidP="00C33AB6">
            <w:pPr>
              <w:spacing w:before="24" w:after="336" w:line="240" w:lineRule="auto"/>
              <w:ind w:righ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AC5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713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При прогнозируемом годовом дефиците </w:t>
            </w:r>
            <w:r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12653,9</w:t>
            </w:r>
            <w:r w:rsidRPr="00AC5713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 тыс. рублей, бюджет исполнен с </w:t>
            </w:r>
            <w:proofErr w:type="spellStart"/>
            <w:r w:rsidRPr="00AC5713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профицитом</w:t>
            </w:r>
            <w:proofErr w:type="spellEnd"/>
            <w:r w:rsidRPr="00AC5713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 в сумме </w:t>
            </w:r>
            <w:r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4220,3</w:t>
            </w:r>
            <w:r w:rsidRPr="00AC5713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 тыс. рублей, сложившимся за счёт неиспользованных объемов субсидий и субвенций из бюджета Тульской области, налоговых и неналоговых доходов бюджета МО Куркинский район.</w:t>
            </w:r>
          </w:p>
          <w:p w:rsidR="004C3B21" w:rsidRDefault="004C3B21" w:rsidP="00C33AB6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4C3B21" w:rsidRDefault="004C3B21" w:rsidP="00C33AB6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Выводы и предложения:</w:t>
            </w:r>
          </w:p>
          <w:p w:rsidR="004C3B21" w:rsidRDefault="004C3B21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1. Отчет об исполнении Бюджета за 1 полугодие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</w:t>
            </w:r>
            <w:r w:rsidR="00AC571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представлен в Собрание представителей и контрольно-ревизионную комиссию  с соблюдением требований Положения о бюджетном процессе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Куркинский район.</w:t>
            </w:r>
          </w:p>
          <w:p w:rsidR="004C3B21" w:rsidRDefault="004C3B21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2. Фактическое исполнение </w:t>
            </w:r>
            <w:r w:rsidR="008006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доходной части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Бюджета в I полугодие</w:t>
            </w:r>
            <w:r w:rsidR="0036135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91661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характеризуется </w:t>
            </w:r>
            <w:r w:rsidR="00C33AB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хорошими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показателями.</w:t>
            </w:r>
          </w:p>
          <w:p w:rsidR="00C33AB6" w:rsidRDefault="00C33AB6" w:rsidP="00C33A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. При прогнозируемом </w:t>
            </w:r>
            <w:r w:rsidR="003470D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годовом 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дефиците  </w:t>
            </w:r>
            <w:r w:rsidR="000B090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12653,9</w:t>
            </w:r>
            <w:r w:rsidR="003470D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тыс. рублей, бюджет исполнен с </w:t>
            </w:r>
            <w:proofErr w:type="spellStart"/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профицитом</w:t>
            </w:r>
            <w:proofErr w:type="spellEnd"/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сумме </w:t>
            </w:r>
            <w:r w:rsidR="000B090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4220,3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рублей, сложившимся за счёт неиспользованных объемов субсидий и субвенций из бюджета Тульской области, налоговых и неналоговых доходов бюджета МО Куркинский район.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</w:p>
          <w:p w:rsidR="004C3B21" w:rsidRDefault="00C33AB6" w:rsidP="00C33A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Общая сумма освоения действующих программ составила 122569,5 тыс. рублей или 35,6% (для сравнения в 2018 году освоение программ составило 45,9% или 114355,9 тыс. рублей). </w:t>
            </w:r>
          </w:p>
          <w:p w:rsidR="0080065F" w:rsidRDefault="00C33AB6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</w:t>
            </w:r>
            <w:r w:rsidR="008006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 Принять меры для исполнения программных мероприятий в полном объеме.</w:t>
            </w:r>
          </w:p>
          <w:p w:rsidR="004C3B21" w:rsidRDefault="004C3B21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По результатам проведенного анализа Отчета, контрольно-ревизионная комиссия  считает возможным рекомендовать Собранию представителей МО Куркинский район принять</w:t>
            </w:r>
            <w:r w:rsidR="008006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отчет об исполнении Бюджета за I полугодие </w:t>
            </w:r>
            <w:r w:rsidR="0091661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к сведению с выработкой конкретных рекомендаций в адрес </w:t>
            </w:r>
            <w:r w:rsidR="008006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дминистрации </w:t>
            </w:r>
            <w:r w:rsidR="0087707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МО Куркинский район.</w:t>
            </w:r>
          </w:p>
        </w:tc>
      </w:tr>
      <w:tr w:rsidR="004C3B21" w:rsidTr="003F125A">
        <w:trPr>
          <w:trHeight w:val="523"/>
        </w:trPr>
        <w:tc>
          <w:tcPr>
            <w:tcW w:w="5000" w:type="pct"/>
            <w:shd w:val="clear" w:color="auto" w:fill="FFFFFF"/>
          </w:tcPr>
          <w:p w:rsidR="004C3B21" w:rsidRDefault="004C3B21" w:rsidP="00C33AB6">
            <w:pPr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4C3B21" w:rsidRDefault="004C3B21" w:rsidP="00C33A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контрольно - ревизионной комиссии</w:t>
      </w:r>
    </w:p>
    <w:p w:rsidR="004C3B21" w:rsidRDefault="004C3B21" w:rsidP="00C33A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Куркинский район                                                                   Е.В.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Степина</w:t>
      </w:r>
      <w:proofErr w:type="gramEnd"/>
    </w:p>
    <w:p w:rsidR="004C3B21" w:rsidRDefault="004C3B21" w:rsidP="00C33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79C" w:rsidRDefault="0010579C" w:rsidP="00C33AB6">
      <w:pPr>
        <w:spacing w:line="240" w:lineRule="auto"/>
      </w:pPr>
    </w:p>
    <w:sectPr w:rsidR="0010579C" w:rsidSect="0010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B21"/>
    <w:rsid w:val="00045CA2"/>
    <w:rsid w:val="00046BD5"/>
    <w:rsid w:val="00046E59"/>
    <w:rsid w:val="00050066"/>
    <w:rsid w:val="000857A4"/>
    <w:rsid w:val="00091683"/>
    <w:rsid w:val="0009530F"/>
    <w:rsid w:val="000A584A"/>
    <w:rsid w:val="000B0908"/>
    <w:rsid w:val="000E060C"/>
    <w:rsid w:val="000E4718"/>
    <w:rsid w:val="000F0F14"/>
    <w:rsid w:val="000F472D"/>
    <w:rsid w:val="0010579C"/>
    <w:rsid w:val="00107787"/>
    <w:rsid w:val="001204E6"/>
    <w:rsid w:val="00176A9C"/>
    <w:rsid w:val="001F11EE"/>
    <w:rsid w:val="002228DF"/>
    <w:rsid w:val="002276F8"/>
    <w:rsid w:val="00257A4C"/>
    <w:rsid w:val="002763F0"/>
    <w:rsid w:val="00292123"/>
    <w:rsid w:val="002B5B0A"/>
    <w:rsid w:val="002D4988"/>
    <w:rsid w:val="00320A77"/>
    <w:rsid w:val="003470D7"/>
    <w:rsid w:val="0036135B"/>
    <w:rsid w:val="003D48F9"/>
    <w:rsid w:val="003F125A"/>
    <w:rsid w:val="00415678"/>
    <w:rsid w:val="00434508"/>
    <w:rsid w:val="004774EF"/>
    <w:rsid w:val="004A5547"/>
    <w:rsid w:val="004B0B4C"/>
    <w:rsid w:val="004B3157"/>
    <w:rsid w:val="004C3B21"/>
    <w:rsid w:val="004E67D9"/>
    <w:rsid w:val="00554DB4"/>
    <w:rsid w:val="00564EC1"/>
    <w:rsid w:val="005656D3"/>
    <w:rsid w:val="0058200E"/>
    <w:rsid w:val="00584300"/>
    <w:rsid w:val="005E0A1B"/>
    <w:rsid w:val="006073AF"/>
    <w:rsid w:val="006139D0"/>
    <w:rsid w:val="006143A3"/>
    <w:rsid w:val="00632E98"/>
    <w:rsid w:val="006518BC"/>
    <w:rsid w:val="006C23F6"/>
    <w:rsid w:val="00703E90"/>
    <w:rsid w:val="00707052"/>
    <w:rsid w:val="00726334"/>
    <w:rsid w:val="00734C74"/>
    <w:rsid w:val="007546B1"/>
    <w:rsid w:val="00767391"/>
    <w:rsid w:val="00776A58"/>
    <w:rsid w:val="00777925"/>
    <w:rsid w:val="007A6C7E"/>
    <w:rsid w:val="007C1B3F"/>
    <w:rsid w:val="007D147F"/>
    <w:rsid w:val="007F7164"/>
    <w:rsid w:val="008002ED"/>
    <w:rsid w:val="0080065F"/>
    <w:rsid w:val="00810A46"/>
    <w:rsid w:val="00816BD6"/>
    <w:rsid w:val="00853D35"/>
    <w:rsid w:val="008605F2"/>
    <w:rsid w:val="0087707B"/>
    <w:rsid w:val="008C2270"/>
    <w:rsid w:val="00916612"/>
    <w:rsid w:val="0093547A"/>
    <w:rsid w:val="00936EE5"/>
    <w:rsid w:val="00985B6D"/>
    <w:rsid w:val="009C323D"/>
    <w:rsid w:val="00A37725"/>
    <w:rsid w:val="00A85495"/>
    <w:rsid w:val="00AC5478"/>
    <w:rsid w:val="00AC5713"/>
    <w:rsid w:val="00AF3187"/>
    <w:rsid w:val="00B045CB"/>
    <w:rsid w:val="00B145D0"/>
    <w:rsid w:val="00B359B6"/>
    <w:rsid w:val="00B74DC3"/>
    <w:rsid w:val="00B97DED"/>
    <w:rsid w:val="00BA6770"/>
    <w:rsid w:val="00BF0983"/>
    <w:rsid w:val="00C27CA5"/>
    <w:rsid w:val="00C33AB6"/>
    <w:rsid w:val="00C4457E"/>
    <w:rsid w:val="00C56905"/>
    <w:rsid w:val="00CA12BE"/>
    <w:rsid w:val="00CA2A14"/>
    <w:rsid w:val="00CA7BB4"/>
    <w:rsid w:val="00CE7972"/>
    <w:rsid w:val="00CF5BEB"/>
    <w:rsid w:val="00D20EDD"/>
    <w:rsid w:val="00D23DD7"/>
    <w:rsid w:val="00D25982"/>
    <w:rsid w:val="00D43BA7"/>
    <w:rsid w:val="00D5550B"/>
    <w:rsid w:val="00D611A3"/>
    <w:rsid w:val="00D630BD"/>
    <w:rsid w:val="00DA310F"/>
    <w:rsid w:val="00DE7E29"/>
    <w:rsid w:val="00E521EE"/>
    <w:rsid w:val="00E652E7"/>
    <w:rsid w:val="00E763AE"/>
    <w:rsid w:val="00E921BD"/>
    <w:rsid w:val="00E929E8"/>
    <w:rsid w:val="00F06488"/>
    <w:rsid w:val="00F27756"/>
    <w:rsid w:val="00F27D00"/>
    <w:rsid w:val="00F311A7"/>
    <w:rsid w:val="00F466FC"/>
    <w:rsid w:val="00F47564"/>
    <w:rsid w:val="00F71F93"/>
    <w:rsid w:val="00F73BDE"/>
    <w:rsid w:val="00F76B32"/>
    <w:rsid w:val="00F91BDA"/>
    <w:rsid w:val="00F93CCF"/>
    <w:rsid w:val="00FB7D50"/>
    <w:rsid w:val="00FC2A21"/>
    <w:rsid w:val="00FC6942"/>
    <w:rsid w:val="00FF25BC"/>
    <w:rsid w:val="00FF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AC57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C571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4622</TotalTime>
  <Pages>9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18</cp:revision>
  <cp:lastPrinted>2019-07-25T14:10:00Z</cp:lastPrinted>
  <dcterms:created xsi:type="dcterms:W3CDTF">2016-08-04T06:22:00Z</dcterms:created>
  <dcterms:modified xsi:type="dcterms:W3CDTF">2019-07-25T14:16:00Z</dcterms:modified>
</cp:coreProperties>
</file>