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6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834"/>
      </w:tblGrid>
      <w:tr w:rsidR="004C3B21" w:rsidTr="003F125A">
        <w:trPr>
          <w:trHeight w:val="132"/>
        </w:trPr>
        <w:tc>
          <w:tcPr>
            <w:tcW w:w="5000" w:type="pct"/>
            <w:shd w:val="clear" w:color="auto" w:fill="FFFFFF"/>
            <w:hideMark/>
          </w:tcPr>
          <w:p w:rsidR="004C3B21" w:rsidRPr="00045CA2" w:rsidRDefault="004C3B21" w:rsidP="000F0F14">
            <w:pPr>
              <w:spacing w:line="240" w:lineRule="auto"/>
              <w:ind w:right="3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4C3B21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К Л Ю Ч Е Н И Е                                    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D611A3" w:rsidRDefault="00045CA2" w:rsidP="00D6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B21" w:rsidRPr="00045CA2" w:rsidRDefault="00045CA2" w:rsidP="008002ED">
            <w:pPr>
              <w:tabs>
                <w:tab w:val="left" w:pos="8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ПОЛУГОДИЕ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23D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4C3B21" w:rsidRDefault="004C3B21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C3B21" w:rsidRDefault="004C3B21" w:rsidP="00D20E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Контрольно-ревизионной комиссии на исполнение бюджета муниципального образования Куркинский район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D23D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 в соответствие требованиям Бюджетного Кодекса Российской Федерации, Положения о бюджетном процессе в муниципальном образовании Куркинский район, Положения о контрольно-ревизионной комиссии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01.07.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Куркинский район от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«Об утверждении отчета об исполнении бюджета муниципального образования Куркинский район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2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.201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№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31-3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КУРКИНСКИЙ РАЙОН ЗА  ПОЛУГОДИЕ </w:t>
            </w:r>
            <w:r w:rsidR="008002E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</w:t>
            </w:r>
            <w:r w:rsidR="00D23DD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1204E6" w:rsidRPr="00997363" w:rsidRDefault="001204E6" w:rsidP="001204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2017г.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29-3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9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2018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сумме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268490,4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объеме 272990,4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4500,0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рублей.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93547A" w:rsidRDefault="00D20EDD" w:rsidP="000F0F14">
            <w:pPr>
              <w:suppressAutoHyphens/>
              <w:ind w:right="-143"/>
              <w:contextualSpacing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Решением Собрания представителей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МО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район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 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20.06.2018</w:t>
            </w:r>
            <w:r w:rsidR="00AC54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г. №</w:t>
            </w:r>
            <w:r w:rsidR="001204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31-3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внесены изменения и утверждены основные характеристики бюджета МО </w:t>
            </w:r>
            <w:r w:rsidR="0093547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Куркинский район:</w:t>
            </w:r>
          </w:p>
          <w:p w:rsidR="0093547A" w:rsidRPr="0093547A" w:rsidRDefault="0093547A" w:rsidP="0093547A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47A">
              <w:rPr>
                <w:rFonts w:ascii="Times New Roman" w:eastAsia="Calibri" w:hAnsi="Times New Roman" w:cs="Times New Roman"/>
                <w:sz w:val="28"/>
                <w:szCs w:val="28"/>
              </w:rPr>
              <w:t>1) Общий объем доходов бюджета района в сумме 295972,43126 тыс. руб.;</w:t>
            </w:r>
          </w:p>
          <w:p w:rsidR="0093547A" w:rsidRPr="0093547A" w:rsidRDefault="0093547A" w:rsidP="0093547A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47A">
              <w:rPr>
                <w:rFonts w:ascii="Times New Roman" w:eastAsia="Calibri" w:hAnsi="Times New Roman" w:cs="Times New Roman"/>
                <w:sz w:val="28"/>
                <w:szCs w:val="28"/>
              </w:rPr>
              <w:t>2) Общий объем расходов бюджета района в сумме 302461,00235 тыс. руб.;</w:t>
            </w:r>
          </w:p>
          <w:p w:rsidR="0093547A" w:rsidRDefault="0093547A" w:rsidP="0093547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3547A">
              <w:rPr>
                <w:rFonts w:ascii="Times New Roman" w:eastAsia="Calibri" w:hAnsi="Times New Roman" w:cs="Times New Roman"/>
                <w:sz w:val="28"/>
                <w:szCs w:val="28"/>
              </w:rPr>
              <w:t>3) Предельный размер дефицита бюджета района  в сумме -6488,57109 тыс. руб.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4C3B21" w:rsidRDefault="0093547A" w:rsidP="000F0F14">
            <w:pPr>
              <w:spacing w:before="24" w:after="336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143240</w:t>
            </w:r>
            <w:r w:rsidR="00D555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,6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D555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48,4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D555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132123,4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D555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43,5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</w:t>
            </w:r>
            <w:proofErr w:type="spell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D555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11117,2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D5550B" w:rsidRDefault="004C3B21" w:rsidP="00D5550B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ной   части   Бюджета </w:t>
            </w:r>
          </w:p>
          <w:p w:rsidR="004C3B21" w:rsidRDefault="00E652E7" w:rsidP="00D5550B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I    полугодие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D5550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доходов.</w:t>
            </w:r>
          </w:p>
          <w:tbl>
            <w:tblPr>
              <w:tblStyle w:val="a3"/>
              <w:tblW w:w="9612" w:type="dxa"/>
              <w:tblInd w:w="1" w:type="dxa"/>
              <w:tblLayout w:type="fixed"/>
              <w:tblLook w:val="04A0"/>
            </w:tblPr>
            <w:tblGrid>
              <w:gridCol w:w="2487"/>
              <w:gridCol w:w="2061"/>
              <w:gridCol w:w="1763"/>
              <w:gridCol w:w="1903"/>
              <w:gridCol w:w="1398"/>
            </w:tblGrid>
            <w:tr w:rsidR="00554DB4" w:rsidTr="003F125A">
              <w:trPr>
                <w:trHeight w:val="1179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555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</w:t>
                  </w:r>
                  <w:r w:rsidR="00D5550B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E652E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01.07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г, тыс.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.%</w:t>
                  </w:r>
                  <w:proofErr w:type="spellEnd"/>
                </w:p>
              </w:tc>
            </w:tr>
            <w:tr w:rsidR="00D5550B" w:rsidTr="003F125A">
              <w:trPr>
                <w:trHeight w:val="54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D5550B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268490,4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295972,4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143240,6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48,4</w:t>
                  </w:r>
                </w:p>
              </w:tc>
            </w:tr>
            <w:tr w:rsidR="00D5550B" w:rsidTr="003F125A">
              <w:trPr>
                <w:trHeight w:val="827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D5550B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26838,8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26838,8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12400,8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46,2</w:t>
                  </w:r>
                </w:p>
              </w:tc>
            </w:tr>
            <w:tr w:rsidR="00D5550B" w:rsidTr="003F125A">
              <w:trPr>
                <w:trHeight w:val="72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D5550B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19726,9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19726,9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9546,3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48,4</w:t>
                  </w:r>
                </w:p>
              </w:tc>
            </w:tr>
            <w:tr w:rsidR="00D5550B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D5550B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8289,0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391" w:rsidRPr="00767391" w:rsidRDefault="00767391" w:rsidP="007673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6739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10 600,6</w:t>
                  </w:r>
                </w:p>
                <w:p w:rsidR="00D5550B" w:rsidRPr="00951EB9" w:rsidRDefault="00D5550B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4850,9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45,8</w:t>
                  </w:r>
                </w:p>
              </w:tc>
            </w:tr>
            <w:tr w:rsidR="00D5550B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951EB9" w:rsidRDefault="00D5550B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12296,0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12296,0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4886,5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39,7</w:t>
                  </w:r>
                </w:p>
              </w:tc>
            </w:tr>
            <w:tr w:rsidR="00257A4C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Государственная пошлина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530,5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530,5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293,8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55,4</w:t>
                  </w:r>
                </w:p>
              </w:tc>
            </w:tr>
            <w:tr w:rsidR="00257A4C" w:rsidTr="003F125A">
              <w:trPr>
                <w:trHeight w:val="2303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257A4C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использования имущества,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наход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.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. 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муниц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. собственности, в т.ч.: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4984,5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5136,2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8C2270" w:rsidP="00E929E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1913,</w:t>
                  </w:r>
                  <w:r w:rsidR="00E929E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37,2</w:t>
                  </w:r>
                </w:p>
              </w:tc>
            </w:tr>
            <w:tr w:rsidR="00257A4C" w:rsidTr="003F125A">
              <w:trPr>
                <w:trHeight w:val="78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84,0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7668B2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279,7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8C2270" w:rsidRDefault="008C2270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8C227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337,8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120,8</w:t>
                  </w:r>
                </w:p>
              </w:tc>
            </w:tr>
            <w:tr w:rsidR="00257A4C" w:rsidTr="003F125A">
              <w:trPr>
                <w:trHeight w:val="151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4900,5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4856,5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8C2270" w:rsidP="0010778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1575,3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176A9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32,4</w:t>
                  </w:r>
                </w:p>
              </w:tc>
            </w:tr>
            <w:tr w:rsidR="00257A4C" w:rsidTr="003F125A">
              <w:trPr>
                <w:trHeight w:val="49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195,3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195,3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23,7</w:t>
                  </w:r>
                </w:p>
              </w:tc>
            </w:tr>
            <w:tr w:rsidR="00257A4C" w:rsidTr="003F125A">
              <w:trPr>
                <w:trHeight w:val="92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8550,0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8943,1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5153,6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57,6</w:t>
                  </w:r>
                </w:p>
              </w:tc>
            </w:tr>
            <w:tr w:rsidR="00257A4C" w:rsidTr="003F125A">
              <w:trPr>
                <w:trHeight w:val="404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257A4C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 в т.ч.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1005,0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1307,0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842,1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64,4</w:t>
                  </w:r>
                </w:p>
              </w:tc>
            </w:tr>
            <w:tr w:rsidR="00257A4C" w:rsidTr="003F125A">
              <w:trPr>
                <w:trHeight w:val="7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7668B2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502,0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503,0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100,2</w:t>
                  </w:r>
                </w:p>
              </w:tc>
            </w:tr>
            <w:tr w:rsidR="00257A4C" w:rsidTr="003F125A">
              <w:trPr>
                <w:trHeight w:val="69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 доходы от продажи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земельных участков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7668B2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805,0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7668B2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805,0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339,1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42,1</w:t>
                  </w:r>
                </w:p>
              </w:tc>
            </w:tr>
            <w:tr w:rsidR="00257A4C" w:rsidTr="003F125A">
              <w:trPr>
                <w:trHeight w:val="49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Штрафные санкции, возмещение  ущерба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342,8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367,8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250,4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68,1</w:t>
                  </w:r>
                </w:p>
              </w:tc>
            </w:tr>
            <w:tr w:rsidR="00257A4C" w:rsidTr="003F125A">
              <w:trPr>
                <w:trHeight w:val="49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951EB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64,7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257A4C" w:rsidTr="003F125A">
              <w:trPr>
                <w:trHeight w:val="63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185731,6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025CD9" w:rsidRDefault="00767391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210066,2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102992,2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49,2</w:t>
                  </w:r>
                </w:p>
              </w:tc>
            </w:tr>
            <w:tr w:rsidR="00E929E8" w:rsidTr="003F125A">
              <w:trPr>
                <w:trHeight w:val="63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Default="00E929E8" w:rsidP="00117927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Pr="007668B2" w:rsidRDefault="00E929E8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50777,8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929E8" w:rsidRPr="00F06488" w:rsidRDefault="00E929E8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50777,8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Default="00E929E8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28388,9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29E8" w:rsidRDefault="006518B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55,9</w:t>
                  </w:r>
                </w:p>
              </w:tc>
            </w:tr>
            <w:tr w:rsidR="00257A4C" w:rsidTr="003F125A">
              <w:trPr>
                <w:trHeight w:val="4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951EB9" w:rsidRDefault="00F06488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2208,0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F06488" w:rsidRDefault="00F06488" w:rsidP="008C2270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24163,</w:t>
                  </w:r>
                  <w:r w:rsidR="008C2270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E929E8" w:rsidRDefault="00E929E8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E929E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3995,3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6518B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6518BC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16,5</w:t>
                  </w:r>
                </w:p>
              </w:tc>
            </w:tr>
            <w:tr w:rsidR="00257A4C" w:rsidTr="003F125A">
              <w:trPr>
                <w:trHeight w:val="4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Default="00257A4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7668B2" w:rsidRDefault="00257A4C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127081,1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7A4C" w:rsidRPr="00F06488" w:rsidRDefault="00F06488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127081,1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E929E8" w:rsidRDefault="00E929E8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E929E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66305,2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7A4C" w:rsidRPr="006518B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6518BC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52,2</w:t>
                  </w:r>
                </w:p>
              </w:tc>
            </w:tr>
            <w:tr w:rsidR="00D5550B" w:rsidTr="003F125A">
              <w:trPr>
                <w:trHeight w:val="877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D5550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Default="00257A4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5608,7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5550B" w:rsidRPr="007668B2" w:rsidRDefault="00F06488" w:rsidP="0011792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6232,4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E929E8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E929E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2778,3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5550B" w:rsidRPr="006518BC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6518BC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44,6</w:t>
                  </w:r>
                </w:p>
              </w:tc>
            </w:tr>
            <w:tr w:rsidR="00554DB4" w:rsidTr="003F125A">
              <w:trPr>
                <w:trHeight w:val="53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257A4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</w:t>
                  </w:r>
                  <w:r w:rsidR="00E652E7" w:rsidRPr="00F0648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F06488" w:rsidRDefault="00F06488" w:rsidP="00F0648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1011,2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E929E8" w:rsidRDefault="00E929E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E929E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844,8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6518BC" w:rsidRDefault="006518BC" w:rsidP="002B5B0A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6518BC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83,5</w:t>
                  </w:r>
                </w:p>
              </w:tc>
            </w:tr>
            <w:tr w:rsidR="00554DB4" w:rsidTr="003F125A">
              <w:trPr>
                <w:trHeight w:val="555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F06488" w:rsidRDefault="00F0648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800,0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929E8" w:rsidP="00E929E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715,5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89,4</w:t>
                  </w:r>
                </w:p>
              </w:tc>
            </w:tr>
            <w:tr w:rsidR="00554DB4" w:rsidTr="003F125A">
              <w:trPr>
                <w:trHeight w:val="13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F06488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В</w:t>
                  </w:r>
                  <w:r w:rsidR="00E652E7" w:rsidRPr="00F0648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озврат остатков, имеющих целевое назначение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F06488" w:rsidRDefault="00F0648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F06488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-36,0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E929E8" w:rsidP="005656D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-36,0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F06488" w:rsidRDefault="006518B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Бюджета в первом полугоди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48,4процента (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первом полугодии 2017 года)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От плановых назначений более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составило по девяти доходны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: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госпошлина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доходы от сдачи в аренду муниципального имущества; доходы  от реализации муниципального  имущества;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доходы от оказания платных услуг; </w:t>
            </w:r>
            <w:r w:rsidR="00FF25BC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штрафные санкции, возмещение  ущерба; </w:t>
            </w:r>
            <w:r w:rsidR="0041567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дотации; субвенции; прочие безвозмездные поступления и </w:t>
            </w:r>
            <w:r w:rsidR="0041567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lastRenderedPageBreak/>
              <w:t>пожертвования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40248,5 </w:t>
            </w:r>
            <w:proofErr w:type="spellStart"/>
            <w:proofErr w:type="gramStart"/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 (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33462,3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2017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запланированной сумме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85942,2 тыс. рублей (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66008,5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2017 гожу)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Исполнение составило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46,8% (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2017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15678" w:rsidRDefault="00415678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Отмечается низкий уровень поступлений 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х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в виде арендной платы за земельные участки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(32,4%). Невыполнение плана составило более 850,0 тыс. рублей.</w:t>
            </w:r>
          </w:p>
          <w:p w:rsidR="00BA6770" w:rsidRPr="00415678" w:rsidRDefault="00BA6770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1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132123,4 тыс. рублей (</w:t>
            </w:r>
            <w:r w:rsidR="0070705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117961,2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2017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годовых плановых назначениях 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302461,0 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43,7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    Кассовое исполнение Бюджета по разделам составило: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17305,9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32014,0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54,1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236,6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478,9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3416,2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21712,4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339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или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1,6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средств муниципального дорожного фонда, который составляет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общей суммы раздела, планируется на 2-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олугодие текущего года;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491,2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10058,9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341,2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по разделу «коммунальное хозяйство» освоено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6921,7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2,2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расходы запланированы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2629,0 тыс. рублей, освоение 0,0 рублей</w:t>
            </w:r>
            <w:proofErr w:type="gramStart"/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proofErr w:type="gramEnd"/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90196,4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190255,7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 по дошкольному образованию освоение составило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44,2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дополнительному образованию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детей 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37,6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«молодежной политике» освоение равно </w:t>
            </w:r>
            <w:r w:rsidR="00FC2A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59,5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%; раздел «другие вопросы в области образования» осво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на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сумму </w:t>
            </w:r>
            <w:r w:rsidR="004E67D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4571,6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E67D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51,8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="005E0A1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«Культура,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13970,4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25087,6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55,7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3289,2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7373,7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 при плане 1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76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тыс.руб. или 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6C23F6" w:rsidP="00B045C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4C3B2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«Обслуживание государственного и муниципального долга»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73,5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при плане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85,8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85,7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6C23F6" w:rsidRDefault="006C23F6" w:rsidP="00E521E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межбюджетные трансферты</w:t>
            </w:r>
            <w:r w:rsidR="00E521EE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системы РФ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4428,0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12809,6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34,6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4428,0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Субсидии бюджетам  поселений не передавались.</w:t>
            </w:r>
          </w:p>
          <w:p w:rsidR="00050066" w:rsidRDefault="004C3B21" w:rsidP="0005006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Муниципальный долг за перв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полугодие 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погашен в полном объеме,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плане погашения кредитов на сумму </w:t>
            </w:r>
            <w:r w:rsidR="002D49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60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00,0 тыс. рублей</w:t>
            </w:r>
            <w:r w:rsidR="00CA7B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CA7BB4" w:rsidRDefault="00CA7BB4" w:rsidP="00CA7BB4">
            <w:pPr>
              <w:tabs>
                <w:tab w:val="left" w:pos="333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800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</w:t>
            </w:r>
            <w:r w:rsidR="002D49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реализ</w:t>
            </w:r>
            <w:r w:rsidR="00564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ются 1</w:t>
            </w:r>
            <w:r w:rsidR="007A6C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60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56"/>
              <w:gridCol w:w="1450"/>
              <w:gridCol w:w="1436"/>
              <w:gridCol w:w="1435"/>
              <w:gridCol w:w="1430"/>
            </w:tblGrid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Название программы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F71F93" w:rsidRDefault="00F71F93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2017г.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F71F93" w:rsidRDefault="00F71F93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Исполнение за полугодие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F71F93" w:rsidTr="003F125A">
              <w:trPr>
                <w:trHeight w:val="70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71F93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172889,1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175847,1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88034,1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50,1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71F93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2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27926,3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26076,7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14095,5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54,1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71F93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3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"Развитие физической культуры, спорта и повышение эффективности реализации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молодежной политики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672,0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3947,8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2457,2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62,2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71F93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4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501,0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12BE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501,0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265,3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53,0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71F93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5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1242,7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1535,6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953,2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62,1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Pr="007F7164" w:rsidRDefault="00F71F93" w:rsidP="00F71F9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7F71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6 </w:t>
                  </w:r>
                  <w:r w:rsidRPr="007F716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МП "Развитие сельского хозяйства муниципального образования Куркинский район"</w:t>
                  </w:r>
                </w:p>
                <w:p w:rsidR="00F71F93" w:rsidRDefault="00F71F93" w:rsidP="00F71F93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466,0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466,0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8 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10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19750,6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20384,4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11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12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13272,0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13302,5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6469,2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48,6</w:t>
                  </w:r>
                </w:p>
              </w:tc>
            </w:tr>
            <w:tr w:rsidR="00F71F93" w:rsidTr="003F125A">
              <w:trPr>
                <w:trHeight w:val="178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13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362,8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362,8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145,8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40,2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14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"Защита населения и территории муниципального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2307,8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2322,7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1017,9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810A4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43,8</w:t>
                  </w:r>
                </w:p>
              </w:tc>
            </w:tr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 xml:space="preserve">15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559,1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1156,0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725,9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7D14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62,8</w:t>
                  </w:r>
                </w:p>
              </w:tc>
            </w:tr>
            <w:tr w:rsidR="00F71F93" w:rsidTr="003F125A">
              <w:trPr>
                <w:trHeight w:val="1081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16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420,0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191,8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45,7</w:t>
                  </w:r>
                </w:p>
              </w:tc>
            </w:tr>
            <w:tr w:rsidR="00F71F93" w:rsidTr="003F125A">
              <w:trPr>
                <w:trHeight w:val="1059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17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103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F71F93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18 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 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164,5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192,1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F91BDA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F71F93" w:rsidTr="003F125A">
              <w:trPr>
                <w:trHeight w:val="388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F71F93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240683,1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249293,6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7F716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114355,9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Default="00F71F93" w:rsidP="007F716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45,</w:t>
                  </w:r>
                  <w:r w:rsidR="007F71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</w:tbl>
          <w:p w:rsidR="003F125A" w:rsidRDefault="0036135B" w:rsidP="00CA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ысоким процентом освоения денежных средств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можно отметить программы №1,2,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3,4,5,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Другие программы освоены не более 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0,0 % или не финансировались вовсе. Общая сумма освоения действующих программ составила 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114355,9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45,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% (для сравнения в 201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году освоение программ составило 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% или 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108526,9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рублей). </w:t>
            </w:r>
          </w:p>
          <w:p w:rsidR="00CA7BB4" w:rsidRDefault="003F125A" w:rsidP="00CA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на второе полугодие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>,0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больше финансовой нагрузки первого полугодия  на 18,</w:t>
            </w:r>
            <w:r w:rsidR="000E47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2. Фактическое исполнение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доходной части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Бюджета в I полугодие</w:t>
            </w:r>
            <w:r w:rsidR="003613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D23D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высокими показателями.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При прогнозируемом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дефиците  </w:t>
            </w:r>
            <w:r w:rsidR="003F12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6488,6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3F12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11117,2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80065F" w:rsidRDefault="0080065F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 Принять меры для исполнения программных мероприятий в полном объеме.</w:t>
            </w:r>
          </w:p>
          <w:p w:rsidR="004C3B21" w:rsidRDefault="004C3B21" w:rsidP="00D23DD7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отчет об исполнении Бюджета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 w:rsidR="00D23D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87707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район.</w:t>
            </w:r>
          </w:p>
        </w:tc>
      </w:tr>
      <w:tr w:rsidR="004C3B21" w:rsidTr="003F125A">
        <w:trPr>
          <w:trHeight w:val="523"/>
        </w:trPr>
        <w:tc>
          <w:tcPr>
            <w:tcW w:w="5000" w:type="pct"/>
            <w:shd w:val="clear" w:color="auto" w:fill="FFFFFF"/>
          </w:tcPr>
          <w:p w:rsidR="004C3B21" w:rsidRDefault="004C3B21" w:rsidP="00D20E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контрольно - ревизионной комиссии</w:t>
      </w:r>
    </w:p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4C3B21" w:rsidRDefault="004C3B21" w:rsidP="00D20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D20EDD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45CA2"/>
    <w:rsid w:val="00046BD5"/>
    <w:rsid w:val="00050066"/>
    <w:rsid w:val="000857A4"/>
    <w:rsid w:val="00091683"/>
    <w:rsid w:val="000E060C"/>
    <w:rsid w:val="000E4718"/>
    <w:rsid w:val="000F0F14"/>
    <w:rsid w:val="000F472D"/>
    <w:rsid w:val="0010579C"/>
    <w:rsid w:val="00107787"/>
    <w:rsid w:val="001204E6"/>
    <w:rsid w:val="00176A9C"/>
    <w:rsid w:val="001F11EE"/>
    <w:rsid w:val="002228DF"/>
    <w:rsid w:val="002276F8"/>
    <w:rsid w:val="00257A4C"/>
    <w:rsid w:val="002763F0"/>
    <w:rsid w:val="002B5B0A"/>
    <w:rsid w:val="002D4988"/>
    <w:rsid w:val="00320A77"/>
    <w:rsid w:val="003470D7"/>
    <w:rsid w:val="0036135B"/>
    <w:rsid w:val="003F125A"/>
    <w:rsid w:val="00415678"/>
    <w:rsid w:val="00434508"/>
    <w:rsid w:val="004774EF"/>
    <w:rsid w:val="004B0B4C"/>
    <w:rsid w:val="004C3B21"/>
    <w:rsid w:val="004E67D9"/>
    <w:rsid w:val="00554DB4"/>
    <w:rsid w:val="00564EC1"/>
    <w:rsid w:val="005656D3"/>
    <w:rsid w:val="0058200E"/>
    <w:rsid w:val="00584300"/>
    <w:rsid w:val="005E0A1B"/>
    <w:rsid w:val="006073AF"/>
    <w:rsid w:val="00632E98"/>
    <w:rsid w:val="006518BC"/>
    <w:rsid w:val="006C23F6"/>
    <w:rsid w:val="00703E90"/>
    <w:rsid w:val="00707052"/>
    <w:rsid w:val="00734C74"/>
    <w:rsid w:val="007546B1"/>
    <w:rsid w:val="00767391"/>
    <w:rsid w:val="00776A58"/>
    <w:rsid w:val="00777925"/>
    <w:rsid w:val="007A6C7E"/>
    <w:rsid w:val="007C1B3F"/>
    <w:rsid w:val="007D147F"/>
    <w:rsid w:val="007F7164"/>
    <w:rsid w:val="008002ED"/>
    <w:rsid w:val="0080065F"/>
    <w:rsid w:val="00810A46"/>
    <w:rsid w:val="00816BD6"/>
    <w:rsid w:val="00853D35"/>
    <w:rsid w:val="008605F2"/>
    <w:rsid w:val="0087707B"/>
    <w:rsid w:val="008C2270"/>
    <w:rsid w:val="0093547A"/>
    <w:rsid w:val="00985B6D"/>
    <w:rsid w:val="00A85495"/>
    <w:rsid w:val="00AC5478"/>
    <w:rsid w:val="00AF3187"/>
    <w:rsid w:val="00B045CB"/>
    <w:rsid w:val="00B145D0"/>
    <w:rsid w:val="00B97DED"/>
    <w:rsid w:val="00BA6770"/>
    <w:rsid w:val="00BF0983"/>
    <w:rsid w:val="00C27CA5"/>
    <w:rsid w:val="00C4457E"/>
    <w:rsid w:val="00C56905"/>
    <w:rsid w:val="00CA12BE"/>
    <w:rsid w:val="00CA7BB4"/>
    <w:rsid w:val="00CE7972"/>
    <w:rsid w:val="00D20EDD"/>
    <w:rsid w:val="00D23DD7"/>
    <w:rsid w:val="00D25982"/>
    <w:rsid w:val="00D5550B"/>
    <w:rsid w:val="00D611A3"/>
    <w:rsid w:val="00DA310F"/>
    <w:rsid w:val="00DE7E29"/>
    <w:rsid w:val="00E521EE"/>
    <w:rsid w:val="00E652E7"/>
    <w:rsid w:val="00E763AE"/>
    <w:rsid w:val="00E929E8"/>
    <w:rsid w:val="00F06488"/>
    <w:rsid w:val="00F311A7"/>
    <w:rsid w:val="00F466FC"/>
    <w:rsid w:val="00F47564"/>
    <w:rsid w:val="00F71F93"/>
    <w:rsid w:val="00F76B32"/>
    <w:rsid w:val="00F91BDA"/>
    <w:rsid w:val="00F93CCF"/>
    <w:rsid w:val="00FC2A21"/>
    <w:rsid w:val="00FF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9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2018-08-03T08:29:00Z</cp:lastPrinted>
  <dcterms:created xsi:type="dcterms:W3CDTF">2016-08-04T06:22:00Z</dcterms:created>
  <dcterms:modified xsi:type="dcterms:W3CDTF">2018-08-03T08:31:00Z</dcterms:modified>
</cp:coreProperties>
</file>