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2" w:rsidRPr="002E3AF0" w:rsidRDefault="00C267E2" w:rsidP="008E5AD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C267E2" w:rsidRPr="002E3AF0" w:rsidRDefault="00C267E2" w:rsidP="008E5AD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3FD" w:rsidRDefault="002413FD" w:rsidP="008E5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FD" w:rsidRPr="00C267E2" w:rsidRDefault="002413FD" w:rsidP="008E5A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7E2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bookmarkStart w:id="0" w:name="_GoBack"/>
      <w:bookmarkEnd w:id="0"/>
    </w:p>
    <w:p w:rsidR="002413FD" w:rsidRDefault="002413FD" w:rsidP="008E5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2413FD" w:rsidRDefault="002413FD" w:rsidP="008E5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13FD" w:rsidRDefault="002413FD" w:rsidP="008E5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67E2">
        <w:rPr>
          <w:rFonts w:ascii="Times New Roman" w:hAnsi="Times New Roman" w:cs="Times New Roman"/>
          <w:b/>
          <w:sz w:val="28"/>
          <w:szCs w:val="28"/>
        </w:rPr>
        <w:t>201</w:t>
      </w:r>
      <w:r w:rsidR="0011169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413FD" w:rsidRDefault="002413FD" w:rsidP="008E5AD7">
      <w:pPr>
        <w:rPr>
          <w:rFonts w:ascii="Times New Roman" w:hAnsi="Times New Roman" w:cs="Times New Roman"/>
          <w:sz w:val="28"/>
          <w:szCs w:val="28"/>
        </w:rPr>
      </w:pPr>
    </w:p>
    <w:p w:rsidR="002413FD" w:rsidRDefault="00814A65" w:rsidP="008E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1EA">
        <w:rPr>
          <w:rFonts w:ascii="Times New Roman" w:hAnsi="Times New Roman" w:cs="Times New Roman"/>
          <w:sz w:val="28"/>
          <w:szCs w:val="28"/>
        </w:rPr>
        <w:t>0</w:t>
      </w:r>
      <w:r w:rsidR="002413FD">
        <w:rPr>
          <w:rFonts w:ascii="Times New Roman" w:hAnsi="Times New Roman" w:cs="Times New Roman"/>
          <w:sz w:val="28"/>
          <w:szCs w:val="28"/>
        </w:rPr>
        <w:t>.0</w:t>
      </w:r>
      <w:r w:rsidR="00C461EA">
        <w:rPr>
          <w:rFonts w:ascii="Times New Roman" w:hAnsi="Times New Roman" w:cs="Times New Roman"/>
          <w:sz w:val="28"/>
          <w:szCs w:val="28"/>
        </w:rPr>
        <w:t>3</w:t>
      </w:r>
      <w:r w:rsidR="002413FD">
        <w:rPr>
          <w:rFonts w:ascii="Times New Roman" w:hAnsi="Times New Roman" w:cs="Times New Roman"/>
          <w:sz w:val="28"/>
          <w:szCs w:val="28"/>
        </w:rPr>
        <w:t>.201</w:t>
      </w:r>
      <w:r w:rsidR="00111691">
        <w:rPr>
          <w:rFonts w:ascii="Times New Roman" w:hAnsi="Times New Roman" w:cs="Times New Roman"/>
          <w:sz w:val="28"/>
          <w:szCs w:val="28"/>
        </w:rPr>
        <w:t>7</w:t>
      </w:r>
      <w:r w:rsidR="002413F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</w:p>
    <w:p w:rsidR="00D7491C" w:rsidRPr="002E3AF0" w:rsidRDefault="00D7491C" w:rsidP="008E5A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46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2016 год,  на основании  распоряжения Контрольно-ревизионной комиссии муниципального образования  Куркинский район от </w:t>
      </w:r>
      <w:r w:rsidR="00043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043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43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043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</w:t>
      </w:r>
      <w:r w:rsidR="00B63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проверена бюджетная отчётность  муниципального образования.</w:t>
      </w:r>
    </w:p>
    <w:p w:rsidR="002413FD" w:rsidRDefault="002413FD" w:rsidP="008E5AD7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БК РФ и  Положения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Указанный отчет об исполнении бюджета своевременно  представлен в Контрольно-счетную палату муниципального образования Куркинский район главой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="008F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к нему установленных  материалов и документов.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ст. 6 Положения о бюджетном процессе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организация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возложена на финансовое управление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актов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утвержденное Положение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учетом действующей редакции Бюджетного Кодекса, структуры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413FD" w:rsidRDefault="002413FD" w:rsidP="008E5A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2413FD" w:rsidRDefault="002413FD" w:rsidP="008E5AD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2413FD" w:rsidRDefault="002413FD" w:rsidP="008E5AD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2413FD" w:rsidRDefault="002413FD" w:rsidP="008E5AD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2413FD" w:rsidRDefault="002413FD" w:rsidP="008E5AD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2413FD" w:rsidRDefault="002413FD" w:rsidP="008E5AD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2413FD" w:rsidRPr="00EF7311" w:rsidRDefault="002413FD" w:rsidP="008E5A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бюджетной отчетности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EF731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представлены администрацией муниципального образования Самарское </w:t>
      </w:r>
      <w:proofErr w:type="spellStart"/>
      <w:r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EF731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F7311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2413FD" w:rsidRPr="00EF7311" w:rsidRDefault="002413FD" w:rsidP="008E5AD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 по исполнению бюджета в контрольно-ревизионную</w:t>
      </w:r>
      <w:r w:rsidR="00043612">
        <w:rPr>
          <w:rFonts w:ascii="Times New Roman" w:hAnsi="Times New Roman" w:cs="Times New Roman"/>
          <w:sz w:val="28"/>
          <w:szCs w:val="28"/>
        </w:rPr>
        <w:t xml:space="preserve"> комиссию не</w:t>
      </w:r>
      <w:r w:rsidR="005C7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13FD" w:rsidRPr="00EF7311" w:rsidRDefault="002413FD" w:rsidP="008E5AD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 w:rsidRPr="00EF7311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2413FD" w:rsidRPr="00EF7311" w:rsidRDefault="002413FD" w:rsidP="008E5AD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 w:rsidRPr="00EF7311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2413FD" w:rsidRDefault="002413FD" w:rsidP="008E5AD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43612">
        <w:rPr>
          <w:rFonts w:ascii="Times New Roman" w:hAnsi="Times New Roman" w:cs="Times New Roman"/>
          <w:sz w:val="28"/>
          <w:szCs w:val="28"/>
        </w:rPr>
        <w:t xml:space="preserve"> </w:t>
      </w:r>
      <w:r w:rsidRPr="00EF7311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2413FD" w:rsidRDefault="002413FD" w:rsidP="008E5AD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C267E2">
        <w:rPr>
          <w:rFonts w:ascii="Times New Roman" w:hAnsi="Times New Roman" w:cs="Times New Roman"/>
          <w:sz w:val="28"/>
          <w:szCs w:val="28"/>
        </w:rPr>
        <w:t>201</w:t>
      </w:r>
      <w:r w:rsidR="000436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090"/>
        <w:gridCol w:w="1983"/>
        <w:gridCol w:w="2002"/>
        <w:gridCol w:w="2314"/>
      </w:tblGrid>
      <w:tr w:rsidR="002413FD" w:rsidTr="00C267E2">
        <w:trPr>
          <w:trHeight w:val="28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</w:tr>
      <w:tr w:rsidR="002413FD" w:rsidTr="00C267E2">
        <w:trPr>
          <w:trHeight w:val="1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D" w:rsidRDefault="002413FD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436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C461EA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</w:tr>
      <w:tr w:rsidR="002413FD" w:rsidTr="00C267E2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43612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B93DD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43612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C267E2">
        <w:rPr>
          <w:rFonts w:ascii="Times New Roman" w:hAnsi="Times New Roman" w:cs="Times New Roman"/>
          <w:sz w:val="28"/>
          <w:szCs w:val="28"/>
        </w:rPr>
        <w:t>201</w:t>
      </w:r>
      <w:r w:rsidR="000436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043612">
        <w:rPr>
          <w:rFonts w:ascii="Times New Roman" w:hAnsi="Times New Roman" w:cs="Times New Roman"/>
          <w:sz w:val="28"/>
          <w:szCs w:val="28"/>
        </w:rPr>
        <w:t>не изменилась.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C79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5C794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годов утвержден решением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5C79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C267E2">
        <w:rPr>
          <w:rFonts w:ascii="Times New Roman" w:hAnsi="Times New Roman" w:cs="Times New Roman"/>
          <w:sz w:val="28"/>
          <w:szCs w:val="28"/>
        </w:rPr>
        <w:t>201</w:t>
      </w:r>
      <w:r w:rsidR="005C79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5C7946">
        <w:rPr>
          <w:rFonts w:ascii="Times New Roman" w:hAnsi="Times New Roman" w:cs="Times New Roman"/>
          <w:sz w:val="28"/>
          <w:szCs w:val="28"/>
        </w:rPr>
        <w:t>3</w:t>
      </w:r>
      <w:r w:rsidR="00B93D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7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C79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5C79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</w:t>
      </w:r>
      <w:r w:rsidR="00B93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B93DD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C7946">
        <w:rPr>
          <w:rFonts w:ascii="Times New Roman" w:hAnsi="Times New Roman" w:cs="Times New Roman"/>
          <w:sz w:val="28"/>
          <w:szCs w:val="28"/>
        </w:rPr>
        <w:t>6913,6</w:t>
      </w:r>
      <w:r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="00B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</w:t>
      </w:r>
      <w:r w:rsidR="00B93DDF">
        <w:rPr>
          <w:rFonts w:ascii="Times New Roman" w:hAnsi="Times New Roman" w:cs="Times New Roman"/>
          <w:sz w:val="28"/>
          <w:szCs w:val="28"/>
        </w:rPr>
        <w:t>дважды</w:t>
      </w:r>
      <w:r w:rsidR="005C7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результате, уточненные плановые назначения на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5C7946">
        <w:rPr>
          <w:rFonts w:ascii="Times New Roman" w:hAnsi="Times New Roman" w:cs="Times New Roman"/>
          <w:sz w:val="28"/>
          <w:szCs w:val="28"/>
        </w:rPr>
        <w:t>11723,2</w:t>
      </w:r>
      <w:r w:rsidR="0080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5C7946">
        <w:rPr>
          <w:rFonts w:ascii="Times New Roman" w:hAnsi="Times New Roman" w:cs="Times New Roman"/>
          <w:sz w:val="28"/>
          <w:szCs w:val="28"/>
        </w:rPr>
        <w:t>12355,8</w:t>
      </w:r>
      <w:r>
        <w:rPr>
          <w:rFonts w:ascii="Times New Roman" w:hAnsi="Times New Roman" w:cs="Times New Roman"/>
          <w:sz w:val="28"/>
          <w:szCs w:val="28"/>
        </w:rPr>
        <w:t xml:space="preserve"> тыс. руб., предельный размер дефицита бюджета МО Самарское на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в сумме </w:t>
      </w:r>
      <w:r w:rsidR="005C7946">
        <w:rPr>
          <w:rFonts w:ascii="Times New Roman" w:hAnsi="Times New Roman" w:cs="Times New Roman"/>
          <w:sz w:val="28"/>
          <w:szCs w:val="28"/>
        </w:rPr>
        <w:t>632,6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1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5C7946">
        <w:rPr>
          <w:rFonts w:ascii="Times New Roman" w:hAnsi="Times New Roman" w:cs="Times New Roman"/>
          <w:sz w:val="28"/>
          <w:szCs w:val="28"/>
        </w:rPr>
        <w:t>11762,4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1129C5">
        <w:rPr>
          <w:rFonts w:ascii="Times New Roman" w:hAnsi="Times New Roman" w:cs="Times New Roman"/>
          <w:sz w:val="28"/>
          <w:szCs w:val="28"/>
        </w:rPr>
        <w:t>100,3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1129C5">
        <w:rPr>
          <w:rFonts w:ascii="Times New Roman" w:hAnsi="Times New Roman" w:cs="Times New Roman"/>
          <w:sz w:val="28"/>
          <w:szCs w:val="28"/>
        </w:rPr>
        <w:t>11982,3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805E97">
        <w:rPr>
          <w:rFonts w:ascii="Times New Roman" w:hAnsi="Times New Roman" w:cs="Times New Roman"/>
          <w:sz w:val="28"/>
          <w:szCs w:val="28"/>
        </w:rPr>
        <w:t>9</w:t>
      </w:r>
      <w:r w:rsidR="001129C5">
        <w:rPr>
          <w:rFonts w:ascii="Times New Roman" w:hAnsi="Times New Roman" w:cs="Times New Roman"/>
          <w:sz w:val="28"/>
          <w:szCs w:val="28"/>
        </w:rPr>
        <w:t>7</w:t>
      </w:r>
      <w:r w:rsidR="00805E97">
        <w:rPr>
          <w:rFonts w:ascii="Times New Roman" w:hAnsi="Times New Roman" w:cs="Times New Roman"/>
          <w:sz w:val="28"/>
          <w:szCs w:val="28"/>
        </w:rPr>
        <w:t>,</w:t>
      </w:r>
      <w:r w:rsidR="001129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плана).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исполнения бюджета к уровню </w:t>
      </w:r>
      <w:r w:rsidR="00C267E2">
        <w:rPr>
          <w:rFonts w:ascii="Times New Roman" w:hAnsi="Times New Roman" w:cs="Times New Roman"/>
          <w:sz w:val="28"/>
          <w:szCs w:val="28"/>
        </w:rPr>
        <w:t>201</w:t>
      </w:r>
      <w:r w:rsidR="001129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 представлено в таблице.       </w:t>
      </w:r>
      <w:r w:rsidR="00805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3040"/>
        <w:gridCol w:w="1691"/>
        <w:gridCol w:w="1661"/>
        <w:gridCol w:w="1538"/>
        <w:gridCol w:w="1500"/>
      </w:tblGrid>
      <w:tr w:rsidR="007A2D10" w:rsidTr="00A86F99">
        <w:trPr>
          <w:trHeight w:val="52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 год, тыс. руб.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 год, тыс. руб.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2016г к 2015 г</w:t>
            </w:r>
          </w:p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D10" w:rsidTr="00A86F99">
        <w:trPr>
          <w:trHeight w:val="30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7A2D10" w:rsidTr="00A86F99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8897,1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11762,4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+2865,3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7A2D10" w:rsidTr="00A86F99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+415,1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7A2D10" w:rsidTr="00A86F99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+485,2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7A2D10" w:rsidTr="00A86F99">
        <w:trPr>
          <w:trHeight w:val="2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A2D10" w:rsidTr="00A86F99">
        <w:trPr>
          <w:trHeight w:val="5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+2450,2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7A2D10" w:rsidTr="00A86F99">
        <w:trPr>
          <w:trHeight w:val="4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8974,5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+3007,8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10" w:rsidRDefault="007A2D10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133,5</w:t>
            </w:r>
          </w:p>
        </w:tc>
      </w:tr>
    </w:tbl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A2D10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B08">
        <w:rPr>
          <w:rFonts w:ascii="Times New Roman" w:hAnsi="Times New Roman" w:cs="Times New Roman"/>
          <w:sz w:val="28"/>
          <w:szCs w:val="28"/>
        </w:rPr>
        <w:t xml:space="preserve">до </w:t>
      </w:r>
      <w:r w:rsidR="00D1274E">
        <w:rPr>
          <w:rFonts w:ascii="Times New Roman" w:hAnsi="Times New Roman" w:cs="Times New Roman"/>
          <w:sz w:val="28"/>
          <w:szCs w:val="28"/>
        </w:rPr>
        <w:t xml:space="preserve">11762,4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A0B08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D1274E">
        <w:rPr>
          <w:rFonts w:ascii="Times New Roman" w:hAnsi="Times New Roman" w:cs="Times New Roman"/>
          <w:sz w:val="28"/>
          <w:szCs w:val="28"/>
        </w:rPr>
        <w:t>132,2</w:t>
      </w:r>
      <w:r w:rsidR="004A0B08">
        <w:rPr>
          <w:rFonts w:ascii="Times New Roman" w:hAnsi="Times New Roman" w:cs="Times New Roman"/>
          <w:sz w:val="28"/>
          <w:szCs w:val="28"/>
        </w:rPr>
        <w:t xml:space="preserve"> % к уровню прошлого года.</w:t>
      </w:r>
      <w:r w:rsidR="00D1274E">
        <w:rPr>
          <w:rFonts w:ascii="Times New Roman" w:hAnsi="Times New Roman" w:cs="Times New Roman"/>
          <w:sz w:val="28"/>
          <w:szCs w:val="28"/>
        </w:rPr>
        <w:t xml:space="preserve"> Расходная часть возросла на 3007,8 тыс. рублей или 133,5% к объему расходов прошлого года.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13FD" w:rsidRDefault="002413FD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13FD" w:rsidRDefault="002413FD" w:rsidP="008E5A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276"/>
        <w:gridCol w:w="850"/>
        <w:gridCol w:w="1134"/>
        <w:gridCol w:w="851"/>
        <w:gridCol w:w="1134"/>
        <w:gridCol w:w="843"/>
      </w:tblGrid>
      <w:tr w:rsidR="002413FD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2413FD" w:rsidRPr="00FD28E1" w:rsidRDefault="001129C5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2413FD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1274E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1274E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D1274E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 бюджетам поселений на </w:t>
            </w: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2554,9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1E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1274E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Субвенции</w:t>
            </w:r>
          </w:p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1274E" w:rsidTr="00A351E3">
        <w:trPr>
          <w:trHeight w:val="13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D1274E" w:rsidTr="00A351E3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организаций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17394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274E" w:rsidTr="00A351E3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 от физ.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1274E" w:rsidTr="00A351E3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4E" w:rsidTr="00A351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1274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E51E5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A351E3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D91E6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11762,4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4E" w:rsidRPr="00FD28E1" w:rsidRDefault="00A351E3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8E5AD7">
      <w:pPr>
        <w:rPr>
          <w:rFonts w:ascii="Times New Roman" w:hAnsi="Times New Roman" w:cs="Times New Roman"/>
          <w:sz w:val="28"/>
          <w:szCs w:val="28"/>
        </w:rPr>
      </w:pPr>
    </w:p>
    <w:p w:rsidR="009062A5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D91E68">
        <w:rPr>
          <w:rFonts w:ascii="Times New Roman" w:hAnsi="Times New Roman" w:cs="Times New Roman"/>
          <w:sz w:val="28"/>
          <w:szCs w:val="28"/>
        </w:rPr>
        <w:t>3386,4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1E68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D91E68">
        <w:rPr>
          <w:rFonts w:ascii="Times New Roman" w:hAnsi="Times New Roman" w:cs="Times New Roman"/>
          <w:sz w:val="28"/>
          <w:szCs w:val="28"/>
        </w:rPr>
        <w:t>8376,0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91E68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62A5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91E68">
        <w:rPr>
          <w:rFonts w:ascii="Times New Roman" w:hAnsi="Times New Roman" w:cs="Times New Roman"/>
          <w:sz w:val="28"/>
          <w:szCs w:val="28"/>
        </w:rPr>
        <w:t>2450,2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062A5">
        <w:rPr>
          <w:rFonts w:ascii="Times New Roman" w:hAnsi="Times New Roman" w:cs="Times New Roman"/>
          <w:sz w:val="28"/>
          <w:szCs w:val="28"/>
        </w:rPr>
        <w:t xml:space="preserve">, или </w:t>
      </w:r>
      <w:r w:rsidR="00D91E68">
        <w:rPr>
          <w:rFonts w:ascii="Times New Roman" w:hAnsi="Times New Roman" w:cs="Times New Roman"/>
          <w:sz w:val="28"/>
          <w:szCs w:val="28"/>
        </w:rPr>
        <w:t>141,3</w:t>
      </w:r>
      <w:r w:rsidR="009062A5">
        <w:rPr>
          <w:rFonts w:ascii="Times New Roman" w:hAnsi="Times New Roman" w:cs="Times New Roman"/>
          <w:sz w:val="28"/>
          <w:szCs w:val="28"/>
        </w:rPr>
        <w:t>%.</w:t>
      </w:r>
      <w:r w:rsidR="002C500E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9062A5">
        <w:rPr>
          <w:rFonts w:ascii="Times New Roman" w:hAnsi="Times New Roman" w:cs="Times New Roman"/>
          <w:sz w:val="28"/>
          <w:szCs w:val="28"/>
        </w:rPr>
        <w:t>увеличились</w:t>
      </w:r>
      <w:r w:rsidR="002C500E">
        <w:rPr>
          <w:rFonts w:ascii="Times New Roman" w:hAnsi="Times New Roman" w:cs="Times New Roman"/>
          <w:sz w:val="28"/>
          <w:szCs w:val="28"/>
        </w:rPr>
        <w:t xml:space="preserve"> на </w:t>
      </w:r>
      <w:r w:rsidR="00092556">
        <w:rPr>
          <w:rFonts w:ascii="Times New Roman" w:hAnsi="Times New Roman" w:cs="Times New Roman"/>
          <w:sz w:val="28"/>
          <w:szCs w:val="28"/>
        </w:rPr>
        <w:t>415,1</w:t>
      </w:r>
      <w:r w:rsidR="002C50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062A5">
        <w:rPr>
          <w:rFonts w:ascii="Times New Roman" w:hAnsi="Times New Roman" w:cs="Times New Roman"/>
          <w:sz w:val="28"/>
          <w:szCs w:val="28"/>
        </w:rPr>
        <w:t xml:space="preserve"> или </w:t>
      </w:r>
      <w:r w:rsidR="00092556">
        <w:rPr>
          <w:rFonts w:ascii="Times New Roman" w:hAnsi="Times New Roman" w:cs="Times New Roman"/>
          <w:sz w:val="28"/>
          <w:szCs w:val="28"/>
        </w:rPr>
        <w:t>114,0%</w:t>
      </w:r>
      <w:r w:rsidR="009062A5">
        <w:rPr>
          <w:rFonts w:ascii="Times New Roman" w:hAnsi="Times New Roman" w:cs="Times New Roman"/>
          <w:sz w:val="28"/>
          <w:szCs w:val="28"/>
        </w:rPr>
        <w:t>.</w:t>
      </w:r>
      <w:r w:rsidR="002C5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A5" w:rsidRDefault="009062A5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поступлений больше поступлений 2015 года в 1,</w:t>
      </w:r>
      <w:r w:rsidR="00092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 или на</w:t>
      </w:r>
      <w:r w:rsidR="000F2393">
        <w:rPr>
          <w:rFonts w:ascii="Times New Roman" w:hAnsi="Times New Roman" w:cs="Times New Roman"/>
          <w:sz w:val="28"/>
          <w:szCs w:val="28"/>
        </w:rPr>
        <w:t xml:space="preserve"> </w:t>
      </w:r>
      <w:r w:rsidR="00092556">
        <w:rPr>
          <w:rFonts w:ascii="Times New Roman" w:hAnsi="Times New Roman" w:cs="Times New Roman"/>
          <w:sz w:val="28"/>
          <w:szCs w:val="28"/>
        </w:rPr>
        <w:t>2865,3</w:t>
      </w:r>
      <w:r w:rsidR="000F2393">
        <w:rPr>
          <w:rFonts w:ascii="Times New Roman" w:hAnsi="Times New Roman" w:cs="Times New Roman"/>
          <w:sz w:val="28"/>
          <w:szCs w:val="28"/>
        </w:rPr>
        <w:t xml:space="preserve"> тыс. рублей. Уточнение </w:t>
      </w:r>
      <w:r w:rsidR="00532C5A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0F2393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532C5A">
        <w:rPr>
          <w:rFonts w:ascii="Times New Roman" w:hAnsi="Times New Roman" w:cs="Times New Roman"/>
          <w:sz w:val="28"/>
          <w:szCs w:val="28"/>
        </w:rPr>
        <w:t xml:space="preserve"> </w:t>
      </w:r>
      <w:r w:rsidR="000F2393">
        <w:rPr>
          <w:rFonts w:ascii="Times New Roman" w:hAnsi="Times New Roman" w:cs="Times New Roman"/>
          <w:sz w:val="28"/>
          <w:szCs w:val="28"/>
        </w:rPr>
        <w:t>проведено</w:t>
      </w:r>
      <w:r w:rsidR="00532C5A">
        <w:rPr>
          <w:rFonts w:ascii="Times New Roman" w:hAnsi="Times New Roman" w:cs="Times New Roman"/>
          <w:sz w:val="28"/>
          <w:szCs w:val="28"/>
        </w:rPr>
        <w:t xml:space="preserve"> на </w:t>
      </w:r>
      <w:r w:rsidR="00092556">
        <w:rPr>
          <w:rFonts w:ascii="Times New Roman" w:hAnsi="Times New Roman" w:cs="Times New Roman"/>
          <w:sz w:val="28"/>
          <w:szCs w:val="28"/>
        </w:rPr>
        <w:t>4809,6</w:t>
      </w:r>
      <w:r w:rsidR="00532C5A">
        <w:rPr>
          <w:rFonts w:ascii="Times New Roman" w:hAnsi="Times New Roman" w:cs="Times New Roman"/>
          <w:sz w:val="28"/>
          <w:szCs w:val="28"/>
        </w:rPr>
        <w:t xml:space="preserve"> тыс. рублей или в </w:t>
      </w:r>
      <w:r w:rsidR="00092556">
        <w:rPr>
          <w:rFonts w:ascii="Times New Roman" w:hAnsi="Times New Roman" w:cs="Times New Roman"/>
          <w:sz w:val="28"/>
          <w:szCs w:val="28"/>
        </w:rPr>
        <w:t>1,7</w:t>
      </w:r>
      <w:r w:rsidR="00532C5A">
        <w:rPr>
          <w:rFonts w:ascii="Times New Roman" w:hAnsi="Times New Roman" w:cs="Times New Roman"/>
          <w:sz w:val="28"/>
          <w:szCs w:val="28"/>
        </w:rPr>
        <w:t xml:space="preserve"> раза от первоначальных объемов.</w:t>
      </w:r>
      <w:r w:rsidR="000F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65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A538BF">
        <w:rPr>
          <w:rFonts w:ascii="Times New Roman" w:hAnsi="Times New Roman" w:cs="Times New Roman"/>
          <w:sz w:val="28"/>
          <w:szCs w:val="28"/>
        </w:rPr>
        <w:t>3269,6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538BF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</w:t>
      </w:r>
      <w:r w:rsidR="00A538BF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к уровню прошлого года на  </w:t>
      </w:r>
      <w:r w:rsidR="00A538BF">
        <w:rPr>
          <w:rFonts w:ascii="Times New Roman" w:hAnsi="Times New Roman" w:cs="Times New Roman"/>
          <w:sz w:val="28"/>
          <w:szCs w:val="28"/>
        </w:rPr>
        <w:t xml:space="preserve">485,2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A538B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17394B">
        <w:rPr>
          <w:rFonts w:ascii="Times New Roman" w:hAnsi="Times New Roman" w:cs="Times New Roman"/>
          <w:b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10</w:t>
      </w:r>
      <w:r w:rsidR="00A538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,0 %,  в том числе по видам налогов и сборов:</w:t>
      </w:r>
      <w:r w:rsidR="002C5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2413FD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129C5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461EA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61EA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="00C461EA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1129C5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C461EA"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353B0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Pr="0035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физ. лиц</w:t>
            </w:r>
          </w:p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2272,7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53B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53B0E" w:rsidRPr="00353B0E" w:rsidRDefault="00353B0E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353B0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2784,4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67507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0E" w:rsidRPr="00353B0E" w:rsidRDefault="00A538B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8E5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A65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</w:t>
      </w:r>
      <w:r w:rsidR="006508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A538BF">
        <w:rPr>
          <w:rFonts w:ascii="Times New Roman" w:hAnsi="Times New Roman" w:cs="Times New Roman"/>
          <w:sz w:val="28"/>
          <w:szCs w:val="28"/>
        </w:rPr>
        <w:t xml:space="preserve">2669,9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97030C">
        <w:rPr>
          <w:rFonts w:ascii="Times New Roman" w:hAnsi="Times New Roman" w:cs="Times New Roman"/>
          <w:sz w:val="28"/>
          <w:szCs w:val="28"/>
        </w:rPr>
        <w:t>81,</w:t>
      </w:r>
      <w:r w:rsidR="00A538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A07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A538BF">
        <w:rPr>
          <w:rFonts w:ascii="Times New Roman" w:hAnsi="Times New Roman" w:cs="Times New Roman"/>
          <w:sz w:val="28"/>
          <w:szCs w:val="28"/>
        </w:rPr>
        <w:t xml:space="preserve">116,8 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на </w:t>
      </w:r>
      <w:r w:rsidR="00A538BF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2413FD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у</w:t>
      </w:r>
      <w:r w:rsidR="00043675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ения с  </w:t>
      </w:r>
      <w:r w:rsidR="000D6B70">
        <w:rPr>
          <w:rFonts w:ascii="Times New Roman" w:hAnsi="Times New Roman" w:cs="Times New Roman"/>
          <w:sz w:val="28"/>
          <w:szCs w:val="28"/>
        </w:rPr>
        <w:t xml:space="preserve">554,9 </w:t>
      </w:r>
      <w:r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0D6B70">
        <w:rPr>
          <w:rFonts w:ascii="Times New Roman" w:hAnsi="Times New Roman" w:cs="Times New Roman"/>
          <w:sz w:val="28"/>
          <w:szCs w:val="28"/>
        </w:rPr>
        <w:t>88,0</w:t>
      </w:r>
      <w:r>
        <w:rPr>
          <w:rFonts w:ascii="Times New Roman" w:hAnsi="Times New Roman" w:cs="Times New Roman"/>
          <w:sz w:val="28"/>
          <w:szCs w:val="28"/>
        </w:rPr>
        <w:t xml:space="preserve"> тыс. руб., т.е. на </w:t>
      </w:r>
      <w:r w:rsidR="000D6B70">
        <w:rPr>
          <w:rFonts w:ascii="Times New Roman" w:hAnsi="Times New Roman" w:cs="Times New Roman"/>
          <w:sz w:val="28"/>
          <w:szCs w:val="28"/>
        </w:rPr>
        <w:t>466,9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D6B70" w:rsidRDefault="002413FD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0D6B70">
        <w:rPr>
          <w:rFonts w:ascii="Times New Roman" w:hAnsi="Times New Roman" w:cs="Times New Roman"/>
          <w:sz w:val="28"/>
          <w:szCs w:val="28"/>
        </w:rPr>
        <w:t>увеличены</w:t>
      </w:r>
      <w:r w:rsidRPr="00043675">
        <w:rPr>
          <w:rFonts w:ascii="Times New Roman" w:hAnsi="Times New Roman" w:cs="Times New Roman"/>
          <w:sz w:val="28"/>
          <w:szCs w:val="28"/>
        </w:rPr>
        <w:t xml:space="preserve"> </w:t>
      </w:r>
      <w:r w:rsidRPr="00CD6207">
        <w:rPr>
          <w:rFonts w:ascii="Times New Roman" w:hAnsi="Times New Roman" w:cs="Times New Roman"/>
          <w:sz w:val="28"/>
          <w:szCs w:val="28"/>
        </w:rPr>
        <w:t xml:space="preserve">на </w:t>
      </w:r>
      <w:r w:rsidR="000D6B70">
        <w:rPr>
          <w:rFonts w:ascii="Times New Roman" w:hAnsi="Times New Roman" w:cs="Times New Roman"/>
          <w:sz w:val="28"/>
          <w:szCs w:val="28"/>
        </w:rPr>
        <w:t>40,0</w:t>
      </w:r>
      <w:r w:rsidRPr="00CD620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413FD" w:rsidRDefault="002413FD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0D6B70">
        <w:rPr>
          <w:rFonts w:ascii="Times New Roman" w:hAnsi="Times New Roman" w:cs="Times New Roman"/>
          <w:sz w:val="28"/>
          <w:szCs w:val="28"/>
        </w:rPr>
        <w:t>продажи земельных участков</w:t>
      </w:r>
    </w:p>
    <w:p w:rsidR="00814A65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-штрафы, санкции, возмещение ущерба </w:t>
      </w:r>
      <w:r w:rsidR="000D6B70">
        <w:rPr>
          <w:rFonts w:ascii="Times New Roman" w:hAnsi="Times New Roman" w:cs="Times New Roman"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D6B70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14A65" w:rsidRDefault="00814A65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сумме сложилась следующим образом:</w:t>
      </w:r>
    </w:p>
    <w:p w:rsidR="002413FD" w:rsidRDefault="002413FD" w:rsidP="008E5AD7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2127"/>
        <w:gridCol w:w="1330"/>
        <w:gridCol w:w="1480"/>
        <w:gridCol w:w="1430"/>
        <w:gridCol w:w="1390"/>
        <w:gridCol w:w="1316"/>
        <w:gridCol w:w="816"/>
      </w:tblGrid>
      <w:tr w:rsidR="002413FD" w:rsidTr="00092556">
        <w:trPr>
          <w:trHeight w:val="1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1129C5" w:rsidRPr="000925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  <w:r w:rsidR="00C461EA" w:rsidRPr="000925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C461EA" w:rsidRPr="000925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  <w:r w:rsidR="00C461EA" w:rsidRPr="000925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 к </w:t>
            </w:r>
            <w:r w:rsidR="001129C5" w:rsidRPr="000925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бюджета </w:t>
            </w:r>
            <w:r w:rsidR="00C461EA" w:rsidRPr="000925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2413FD" w:rsidRPr="00092556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2556" w:rsidTr="00092556">
        <w:trPr>
          <w:trHeight w:val="1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92556" w:rsidRPr="000925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092556" w:rsidTr="00092556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Доходы от  компенсации затрат бюджетов сельских поселений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2556" w:rsidTr="00092556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556" w:rsidRPr="0009255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092556" w:rsidTr="00092556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F40F17" w:rsidRDefault="00092556" w:rsidP="008E5A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 xml:space="preserve">ИТОГО </w:t>
            </w:r>
          </w:p>
          <w:p w:rsidR="00092556" w:rsidRPr="00F40F17" w:rsidRDefault="00092556" w:rsidP="008E5A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>НЕНАЛОГОВЫХ ДОХОДОВ:</w:t>
            </w:r>
          </w:p>
          <w:p w:rsidR="00092556" w:rsidRPr="00092556" w:rsidRDefault="00092556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874859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56" w:rsidRPr="00092556" w:rsidRDefault="00092556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822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="00FE0BE2" w:rsidRPr="00FE0BE2">
        <w:rPr>
          <w:rFonts w:ascii="Times New Roman" w:hAnsi="Times New Roman" w:cs="Times New Roman"/>
          <w:sz w:val="28"/>
          <w:szCs w:val="28"/>
        </w:rPr>
        <w:t>доход от использования имущества, находящегося в муниципальной собственности</w:t>
      </w:r>
      <w:proofErr w:type="gramStart"/>
      <w:r w:rsidR="00FE0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0BE2">
        <w:rPr>
          <w:rFonts w:ascii="Times New Roman" w:hAnsi="Times New Roman" w:cs="Times New Roman"/>
          <w:sz w:val="28"/>
          <w:szCs w:val="28"/>
        </w:rPr>
        <w:t xml:space="preserve"> при плане 70,0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FE0BE2">
        <w:rPr>
          <w:rFonts w:ascii="Times New Roman" w:hAnsi="Times New Roman" w:cs="Times New Roman"/>
          <w:sz w:val="28"/>
          <w:szCs w:val="28"/>
        </w:rPr>
        <w:t>91,7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</w:t>
      </w:r>
      <w:r w:rsidR="00FE0BE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38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 уточненного плана. </w:t>
      </w:r>
    </w:p>
    <w:p w:rsidR="002413FD" w:rsidRDefault="00FE0BE2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21,5</w:t>
      </w:r>
      <w:r w:rsidR="002413FD" w:rsidRPr="00623822">
        <w:rPr>
          <w:rFonts w:ascii="Times New Roman" w:hAnsi="Times New Roman" w:cs="Times New Roman"/>
          <w:sz w:val="28"/>
          <w:szCs w:val="28"/>
        </w:rPr>
        <w:t xml:space="preserve"> % в общей сумме неналоговых доходов составляют доходы от</w:t>
      </w:r>
      <w:r w:rsidR="003F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штрафных санкций и возмещение ущерба</w:t>
      </w:r>
      <w:r w:rsidR="002413F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413FD">
        <w:rPr>
          <w:rFonts w:ascii="Times New Roman" w:hAnsi="Times New Roman" w:cs="Times New Roman"/>
          <w:sz w:val="28"/>
          <w:szCs w:val="28"/>
        </w:rPr>
        <w:t xml:space="preserve"> </w:t>
      </w:r>
      <w:r w:rsidR="001129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1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3FD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2413FD">
        <w:rPr>
          <w:rFonts w:ascii="Times New Roman" w:hAnsi="Times New Roman" w:cs="Times New Roman"/>
          <w:sz w:val="28"/>
          <w:szCs w:val="28"/>
        </w:rPr>
        <w:t xml:space="preserve"> в  бюджет данный доход  поступил в сумме </w:t>
      </w:r>
      <w:r>
        <w:rPr>
          <w:rFonts w:ascii="Times New Roman" w:hAnsi="Times New Roman" w:cs="Times New Roman"/>
          <w:sz w:val="28"/>
          <w:szCs w:val="28"/>
        </w:rPr>
        <w:t>25,1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  Плановые показатели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 w:rsidR="002413F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FF4">
        <w:rPr>
          <w:rFonts w:ascii="Times New Roman" w:hAnsi="Times New Roman" w:cs="Times New Roman"/>
          <w:sz w:val="28"/>
          <w:szCs w:val="28"/>
        </w:rPr>
        <w:t>8</w:t>
      </w:r>
      <w:r w:rsidR="002413FD">
        <w:rPr>
          <w:rFonts w:ascii="Times New Roman" w:hAnsi="Times New Roman" w:cs="Times New Roman"/>
          <w:sz w:val="28"/>
          <w:szCs w:val="28"/>
        </w:rPr>
        <w:t>,0 тыс. руб., исполнение составило</w:t>
      </w:r>
      <w:r>
        <w:rPr>
          <w:rFonts w:ascii="Times New Roman" w:hAnsi="Times New Roman" w:cs="Times New Roman"/>
          <w:sz w:val="28"/>
          <w:szCs w:val="28"/>
        </w:rPr>
        <w:t xml:space="preserve"> 139,4</w:t>
      </w:r>
      <w:r w:rsidR="002413FD"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814A65" w:rsidRDefault="00814A65" w:rsidP="008E5AD7">
      <w:pPr>
        <w:tabs>
          <w:tab w:val="left" w:pos="65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Pr="00FE0BE2" w:rsidRDefault="002768FB" w:rsidP="008E5A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2413FD"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Исполнение расходной части </w:t>
      </w:r>
      <w:proofErr w:type="gramStart"/>
      <w:r w:rsidR="002413FD"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 муниципального</w:t>
      </w:r>
      <w:proofErr w:type="gramEnd"/>
      <w:r w:rsidR="002413FD"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Самарское </w:t>
      </w:r>
      <w:proofErr w:type="spellStart"/>
      <w:r w:rsidR="002413FD"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Куркинского</w:t>
      </w:r>
      <w:proofErr w:type="spellEnd"/>
      <w:r w:rsidR="002413FD"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района.</w:t>
      </w:r>
    </w:p>
    <w:p w:rsidR="002413FD" w:rsidRDefault="002413FD" w:rsidP="008E5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3FD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осуществлялось через казначейскую систему.</w:t>
      </w: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кассовых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2413FD" w:rsidTr="00C267E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1129C5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C461EA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413FD" w:rsidTr="00C2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D" w:rsidRDefault="002413FD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D32EE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  <w:p w:rsidR="00F40F17" w:rsidRDefault="00F40F17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Pr="00ED6E7D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6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Pr="00ED6E7D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D32EE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DD32EE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DD32EE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EE" w:rsidRDefault="00F61A5C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</w:tbl>
    <w:p w:rsidR="002413FD" w:rsidRDefault="002413FD" w:rsidP="008E5AD7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F61A5C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F61A5C">
        <w:rPr>
          <w:rFonts w:ascii="Times New Roman" w:hAnsi="Times New Roman" w:cs="Times New Roman"/>
          <w:sz w:val="28"/>
          <w:szCs w:val="28"/>
        </w:rPr>
        <w:t xml:space="preserve">557,6 тыс. 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61A5C">
        <w:rPr>
          <w:rFonts w:ascii="Times New Roman" w:hAnsi="Times New Roman" w:cs="Times New Roman"/>
          <w:sz w:val="28"/>
          <w:szCs w:val="28"/>
        </w:rPr>
        <w:t xml:space="preserve">на 18,3%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годом,  расходы за счет безвозмездных поступлений из бюджетов других уровней </w:t>
      </w:r>
      <w:r w:rsidR="00F61A5C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F61A5C">
        <w:rPr>
          <w:rFonts w:ascii="Times New Roman" w:hAnsi="Times New Roman" w:cs="Times New Roman"/>
          <w:sz w:val="28"/>
          <w:szCs w:val="28"/>
        </w:rPr>
        <w:t xml:space="preserve">2450,2 тыс. руб.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61A5C">
        <w:rPr>
          <w:rFonts w:ascii="Times New Roman" w:hAnsi="Times New Roman" w:cs="Times New Roman"/>
          <w:sz w:val="28"/>
          <w:szCs w:val="28"/>
        </w:rPr>
        <w:t xml:space="preserve"> на 41,3%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E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97,</w:t>
      </w:r>
      <w:r w:rsidR="00F61A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F61A5C">
        <w:rPr>
          <w:rFonts w:ascii="Times New Roman" w:hAnsi="Times New Roman" w:cs="Times New Roman"/>
          <w:sz w:val="28"/>
          <w:szCs w:val="28"/>
        </w:rPr>
        <w:t>11982,3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</w:t>
      </w:r>
    </w:p>
    <w:p w:rsidR="00814A65" w:rsidRDefault="00814A65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7" w:type="dxa"/>
        <w:tblInd w:w="108" w:type="dxa"/>
        <w:tblLayout w:type="fixed"/>
        <w:tblLook w:val="04A0"/>
      </w:tblPr>
      <w:tblGrid>
        <w:gridCol w:w="1983"/>
        <w:gridCol w:w="708"/>
        <w:gridCol w:w="2271"/>
        <w:gridCol w:w="1842"/>
        <w:gridCol w:w="1134"/>
        <w:gridCol w:w="1559"/>
      </w:tblGrid>
      <w:tr w:rsidR="00C27D61" w:rsidTr="00D36B08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C27D61" w:rsidRDefault="00C461EA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C2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D36B0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C27D61" w:rsidTr="00D36B08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D36B0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0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02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0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rPr>
          <w:trHeight w:val="55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403EC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1C378F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02C5C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</w:tr>
    </w:tbl>
    <w:p w:rsidR="0098434B" w:rsidRDefault="0098434B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34B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C02C5C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 xml:space="preserve">%)  в расходах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</w:t>
      </w:r>
      <w:r w:rsidR="004D1247">
        <w:rPr>
          <w:rFonts w:ascii="Times New Roman" w:hAnsi="Times New Roman" w:cs="Times New Roman"/>
          <w:sz w:val="28"/>
          <w:szCs w:val="28"/>
        </w:rPr>
        <w:t xml:space="preserve">на выполнение работ и оплату услуг </w:t>
      </w:r>
      <w:r w:rsidR="0098434B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показатель по расходам</w:t>
      </w:r>
      <w:r w:rsidR="004D1247">
        <w:rPr>
          <w:rFonts w:ascii="Times New Roman" w:hAnsi="Times New Roman" w:cs="Times New Roman"/>
          <w:sz w:val="28"/>
          <w:szCs w:val="28"/>
        </w:rPr>
        <w:t xml:space="preserve"> на оплату труда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4D1247">
        <w:rPr>
          <w:rFonts w:ascii="Times New Roman" w:hAnsi="Times New Roman" w:cs="Times New Roman"/>
          <w:sz w:val="28"/>
          <w:szCs w:val="28"/>
        </w:rPr>
        <w:t xml:space="preserve">2462,2 тыс. рублей или 20,5%. В 2015 году данный показатель составлял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4B">
        <w:rPr>
          <w:rFonts w:ascii="Times New Roman" w:hAnsi="Times New Roman" w:cs="Times New Roman"/>
          <w:sz w:val="28"/>
          <w:szCs w:val="28"/>
        </w:rPr>
        <w:t>3253,2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8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D1247">
        <w:rPr>
          <w:rFonts w:ascii="Times New Roman" w:hAnsi="Times New Roman" w:cs="Times New Roman"/>
          <w:sz w:val="28"/>
          <w:szCs w:val="28"/>
        </w:rPr>
        <w:t xml:space="preserve"> или </w:t>
      </w:r>
      <w:r w:rsidR="0098434B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4D1247">
        <w:rPr>
          <w:rFonts w:ascii="Times New Roman" w:hAnsi="Times New Roman" w:cs="Times New Roman"/>
          <w:sz w:val="28"/>
          <w:szCs w:val="28"/>
        </w:rPr>
        <w:t xml:space="preserve"> в сумме расходов, что больше расходов 2016 года на 32,1%.</w:t>
      </w:r>
    </w:p>
    <w:p w:rsidR="008E5AD7" w:rsidRDefault="008E5AD7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65" w:type="dxa"/>
        <w:tblInd w:w="-176" w:type="dxa"/>
        <w:tblLook w:val="04A0"/>
      </w:tblPr>
      <w:tblGrid>
        <w:gridCol w:w="2553"/>
        <w:gridCol w:w="971"/>
        <w:gridCol w:w="1183"/>
        <w:gridCol w:w="917"/>
        <w:gridCol w:w="1613"/>
        <w:gridCol w:w="1157"/>
        <w:gridCol w:w="1671"/>
      </w:tblGrid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-502,7</w:t>
            </w:r>
          </w:p>
        </w:tc>
      </w:tr>
      <w:tr w:rsidR="002413FD" w:rsidTr="00C267E2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7270" w:rsidTr="00C267E2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+2111,9</w:t>
            </w:r>
          </w:p>
        </w:tc>
      </w:tr>
      <w:tr w:rsidR="002413FD" w:rsidTr="00C267E2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+3344,4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+282,9</w:t>
            </w:r>
          </w:p>
        </w:tc>
      </w:tr>
      <w:tr w:rsidR="002413FD" w:rsidTr="00C267E2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13FD" w:rsidTr="000B1779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-69,7</w:t>
            </w:r>
          </w:p>
        </w:tc>
      </w:tr>
      <w:tr w:rsidR="00EB7270" w:rsidTr="003462A3">
        <w:trPr>
          <w:trHeight w:val="7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70" w:rsidRDefault="00A86F99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+275,4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A3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D" w:rsidRDefault="002413FD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3FD" w:rsidRP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A3">
              <w:rPr>
                <w:rFonts w:ascii="Times New Roman" w:hAnsi="Times New Roman" w:cs="Times New Roman"/>
                <w:b/>
                <w:sz w:val="24"/>
                <w:szCs w:val="24"/>
              </w:rPr>
              <w:t>6913,6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A3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3FD" w:rsidRDefault="003462A3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A86F99">
              <w:rPr>
                <w:rFonts w:ascii="Times New Roman" w:hAnsi="Times New Roman" w:cs="Times New Roman"/>
                <w:b/>
                <w:sz w:val="24"/>
                <w:szCs w:val="24"/>
              </w:rPr>
              <w:t>5442,2</w:t>
            </w:r>
          </w:p>
        </w:tc>
      </w:tr>
    </w:tbl>
    <w:p w:rsidR="002413FD" w:rsidRDefault="002413FD" w:rsidP="008E5AD7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413FD" w:rsidRDefault="00C93093" w:rsidP="008E5AD7">
      <w:pPr>
        <w:tabs>
          <w:tab w:val="left" w:pos="16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уточненных расходов  за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86F99">
        <w:rPr>
          <w:rFonts w:ascii="Times New Roman" w:hAnsi="Times New Roman" w:cs="Times New Roman"/>
          <w:sz w:val="28"/>
          <w:szCs w:val="28"/>
        </w:rPr>
        <w:t>12355,8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Все разделы бюджета МО Самарское уточнены в сторону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увеличения, кроме раздел</w:t>
      </w:r>
      <w:r w:rsidR="00A86F99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политика»</w:t>
      </w:r>
      <w:r w:rsidR="00A86F99">
        <w:rPr>
          <w:rFonts w:ascii="Times New Roman" w:hAnsi="Times New Roman" w:cs="Times New Roman"/>
          <w:sz w:val="28"/>
          <w:szCs w:val="28"/>
        </w:rPr>
        <w:t xml:space="preserve"> на  (-) 69,7 тыс. рублей и «Общегосударственные вопросы» на (-) 502,7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3FD" w:rsidRDefault="002413FD" w:rsidP="008E5AD7">
      <w:pPr>
        <w:tabs>
          <w:tab w:val="left" w:pos="16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</w:t>
      </w:r>
      <w:r w:rsidR="00F4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 </w:t>
      </w:r>
      <w:r w:rsidR="00F4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расходов в общей сумме расходов и </w:t>
      </w:r>
      <w:r w:rsidR="00F40F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отклонений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a"/>
        <w:tblW w:w="9941" w:type="dxa"/>
        <w:tblInd w:w="-176" w:type="dxa"/>
        <w:tblLayout w:type="fixed"/>
        <w:tblLook w:val="04A0"/>
      </w:tblPr>
      <w:tblGrid>
        <w:gridCol w:w="2209"/>
        <w:gridCol w:w="1104"/>
        <w:gridCol w:w="1656"/>
        <w:gridCol w:w="969"/>
        <w:gridCol w:w="1518"/>
        <w:gridCol w:w="964"/>
        <w:gridCol w:w="1521"/>
      </w:tblGrid>
      <w:tr w:rsidR="00F40F17" w:rsidTr="00F561D6">
        <w:trPr>
          <w:trHeight w:val="87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</w:t>
            </w:r>
          </w:p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 года</w:t>
            </w:r>
          </w:p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F40F17" w:rsidRDefault="00F40F17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года к 2015 году</w:t>
            </w:r>
          </w:p>
        </w:tc>
      </w:tr>
      <w:tr w:rsidR="00F40F17" w:rsidTr="00F561D6">
        <w:trPr>
          <w:trHeight w:val="495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F17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C92"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F40F17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-18,2</w:t>
            </w:r>
          </w:p>
        </w:tc>
      </w:tr>
      <w:tr w:rsidR="009A4C92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+2392,6</w:t>
            </w:r>
          </w:p>
        </w:tc>
      </w:tr>
      <w:tr w:rsidR="00F40F17" w:rsidTr="00C93093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Pr="009A4C92" w:rsidRDefault="009A4C92" w:rsidP="008E5A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3913,9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+1824,4</w:t>
            </w:r>
          </w:p>
        </w:tc>
      </w:tr>
      <w:tr w:rsidR="00F40F17" w:rsidTr="00C93093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-933,9</w:t>
            </w:r>
          </w:p>
        </w:tc>
      </w:tr>
      <w:tr w:rsidR="00F40F17" w:rsidTr="00C93093">
        <w:trPr>
          <w:trHeight w:val="54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-366,3</w:t>
            </w:r>
          </w:p>
        </w:tc>
      </w:tr>
      <w:tr w:rsidR="00F40F17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-42,1</w:t>
            </w:r>
          </w:p>
        </w:tc>
      </w:tr>
      <w:tr w:rsidR="009A4C92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92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+274,2</w:t>
            </w:r>
          </w:p>
        </w:tc>
      </w:tr>
      <w:tr w:rsidR="00F40F17" w:rsidTr="00C93093">
        <w:trPr>
          <w:trHeight w:val="2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8974,5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F40F17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9A4C92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17" w:rsidRDefault="00CD6FAF" w:rsidP="008E5AD7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+3007,8</w:t>
            </w:r>
          </w:p>
        </w:tc>
      </w:tr>
    </w:tbl>
    <w:p w:rsidR="002413FD" w:rsidRDefault="002413FD" w:rsidP="008E5AD7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CD6FAF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D6FAF">
        <w:rPr>
          <w:rFonts w:ascii="Times New Roman" w:hAnsi="Times New Roman" w:cs="Times New Roman"/>
          <w:sz w:val="28"/>
          <w:szCs w:val="28"/>
        </w:rPr>
        <w:t>3007,8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8E5A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D7AFE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разделам:</w:t>
      </w:r>
    </w:p>
    <w:p w:rsidR="002413FD" w:rsidRDefault="002413FD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кинематография»,</w:t>
      </w:r>
    </w:p>
    <w:p w:rsidR="002413FD" w:rsidRDefault="002413FD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2413FD" w:rsidRDefault="002413FD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D6FAF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6FAF">
        <w:rPr>
          <w:rFonts w:ascii="Times New Roman" w:hAnsi="Times New Roman" w:cs="Times New Roman"/>
          <w:sz w:val="28"/>
          <w:szCs w:val="28"/>
        </w:rPr>
        <w:t>,</w:t>
      </w:r>
    </w:p>
    <w:p w:rsidR="00CD6FAF" w:rsidRDefault="002413FD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CD6FAF">
        <w:rPr>
          <w:rFonts w:ascii="Times New Roman" w:hAnsi="Times New Roman" w:cs="Times New Roman"/>
          <w:sz w:val="28"/>
          <w:szCs w:val="28"/>
        </w:rPr>
        <w:t>,</w:t>
      </w:r>
    </w:p>
    <w:p w:rsidR="002413FD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«Национальная оборона».</w:t>
      </w:r>
    </w:p>
    <w:p w:rsidR="002413FD" w:rsidRDefault="002413FD" w:rsidP="008E5A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произошло </w:t>
      </w:r>
      <w:r w:rsidR="00BD7AF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разделу:</w:t>
      </w:r>
    </w:p>
    <w:p w:rsidR="002413FD" w:rsidRDefault="002413FD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D6FA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6FAF">
        <w:rPr>
          <w:rFonts w:ascii="Times New Roman" w:hAnsi="Times New Roman" w:cs="Times New Roman"/>
          <w:sz w:val="28"/>
          <w:szCs w:val="28"/>
        </w:rPr>
        <w:t>,</w:t>
      </w:r>
    </w:p>
    <w:p w:rsidR="00CD6FAF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хозяйство»,</w:t>
      </w:r>
    </w:p>
    <w:p w:rsidR="00CD6FAF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«Средства массовой информации».</w:t>
      </w:r>
    </w:p>
    <w:p w:rsidR="00CD6FAF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Источником роста расходов по разделам «Национальная экономика» и </w:t>
      </w:r>
    </w:p>
    <w:p w:rsidR="00CD6FAF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 является увеличение межбюджетных трансфертов целевого назначения.</w:t>
      </w:r>
    </w:p>
    <w:p w:rsidR="00CD6FAF" w:rsidRDefault="00CD6FAF" w:rsidP="008E5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8FB" w:rsidRDefault="002768FB" w:rsidP="008E5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3FD" w:rsidRDefault="00400775" w:rsidP="008E5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13FD"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2413FD" w:rsidRDefault="002413FD" w:rsidP="008E5A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расходы составили 2544,7 тыс. руб. или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100,0 %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уточненных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назначений:</w:t>
      </w:r>
    </w:p>
    <w:p w:rsidR="002413FD" w:rsidRDefault="002413FD" w:rsidP="008E5A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97" w:type="dxa"/>
        <w:tblInd w:w="-34" w:type="dxa"/>
        <w:tblLayout w:type="fixed"/>
        <w:tblLook w:val="04A0"/>
      </w:tblPr>
      <w:tblGrid>
        <w:gridCol w:w="1939"/>
        <w:gridCol w:w="746"/>
        <w:gridCol w:w="1640"/>
        <w:gridCol w:w="1629"/>
        <w:gridCol w:w="1803"/>
        <w:gridCol w:w="1640"/>
      </w:tblGrid>
      <w:tr w:rsidR="002413FD" w:rsidTr="00CD6FAF">
        <w:trPr>
          <w:trHeight w:val="93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129C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1129C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AA0D6B" w:rsidRDefault="00C461EA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AA0D6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D6FAF" w:rsidTr="00CD6FAF">
        <w:trPr>
          <w:trHeight w:val="2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CD6FAF" w:rsidTr="00CD6FAF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D6FAF" w:rsidTr="00CD6FAF">
        <w:trPr>
          <w:trHeight w:val="42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D6FAF" w:rsidTr="00CD6FAF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CD6FAF" w:rsidTr="00CD6FAF">
        <w:trPr>
          <w:trHeight w:val="8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D6FAF" w:rsidTr="00CD6FAF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CD6FAF" w:rsidTr="00CD6FAF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FAF" w:rsidTr="00CD6FAF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D6FAF" w:rsidTr="00CD6FAF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FAF" w:rsidTr="00CD6FAF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D6FAF" w:rsidTr="00CD6FAF">
        <w:trPr>
          <w:trHeight w:val="28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F" w:rsidRDefault="00CD6FAF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3674,8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3551,9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AF" w:rsidRDefault="0036196E" w:rsidP="008E5AD7">
            <w:pPr>
              <w:tabs>
                <w:tab w:val="left" w:pos="90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13FD" w:rsidRDefault="002413FD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2413FD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36196E">
        <w:rPr>
          <w:rFonts w:ascii="Times New Roman" w:hAnsi="Times New Roman" w:cs="Times New Roman"/>
          <w:sz w:val="28"/>
          <w:szCs w:val="28"/>
        </w:rPr>
        <w:t>2379,0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36196E">
        <w:rPr>
          <w:rFonts w:ascii="Times New Roman" w:hAnsi="Times New Roman" w:cs="Times New Roman"/>
          <w:sz w:val="28"/>
          <w:szCs w:val="28"/>
        </w:rPr>
        <w:t>67,0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AC25F0" w:rsidRDefault="00EC5AB8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-расходы на коммунальные услуги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 w:rsidR="0036196E">
        <w:rPr>
          <w:rFonts w:ascii="Times New Roman" w:hAnsi="Times New Roman" w:cs="Times New Roman"/>
          <w:sz w:val="28"/>
          <w:szCs w:val="28"/>
        </w:rPr>
        <w:t>593,9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695171">
        <w:rPr>
          <w:rFonts w:ascii="Times New Roman" w:hAnsi="Times New Roman" w:cs="Times New Roman"/>
          <w:sz w:val="28"/>
          <w:szCs w:val="28"/>
        </w:rPr>
        <w:t>1</w:t>
      </w:r>
      <w:r w:rsidR="0036196E">
        <w:rPr>
          <w:rFonts w:ascii="Times New Roman" w:hAnsi="Times New Roman" w:cs="Times New Roman"/>
          <w:sz w:val="28"/>
          <w:szCs w:val="28"/>
        </w:rPr>
        <w:t>6</w:t>
      </w:r>
      <w:r w:rsidR="00695171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413FD" w:rsidRDefault="002413FD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</w:t>
      </w:r>
      <w:r w:rsidR="0036196E">
        <w:rPr>
          <w:rFonts w:ascii="Times New Roman" w:hAnsi="Times New Roman" w:cs="Times New Roman"/>
          <w:sz w:val="28"/>
          <w:szCs w:val="28"/>
        </w:rPr>
        <w:t>254,8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36196E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695171" w:rsidRDefault="002413FD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171">
        <w:rPr>
          <w:rFonts w:ascii="Times New Roman" w:hAnsi="Times New Roman" w:cs="Times New Roman"/>
          <w:sz w:val="28"/>
          <w:szCs w:val="28"/>
        </w:rPr>
        <w:t xml:space="preserve">увеличение  стоимости материальных запасов – </w:t>
      </w:r>
      <w:r w:rsidR="0036196E">
        <w:rPr>
          <w:rFonts w:ascii="Times New Roman" w:hAnsi="Times New Roman" w:cs="Times New Roman"/>
          <w:sz w:val="28"/>
          <w:szCs w:val="28"/>
        </w:rPr>
        <w:t>182,5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</w:t>
      </w:r>
      <w:r w:rsidR="0036196E">
        <w:rPr>
          <w:rFonts w:ascii="Times New Roman" w:hAnsi="Times New Roman" w:cs="Times New Roman"/>
          <w:sz w:val="28"/>
          <w:szCs w:val="28"/>
        </w:rPr>
        <w:t>5,1</w:t>
      </w:r>
      <w:r w:rsidR="00695171">
        <w:rPr>
          <w:rFonts w:ascii="Times New Roman" w:hAnsi="Times New Roman" w:cs="Times New Roman"/>
          <w:sz w:val="28"/>
          <w:szCs w:val="28"/>
        </w:rPr>
        <w:t>%).</w:t>
      </w:r>
    </w:p>
    <w:p w:rsidR="002413FD" w:rsidRDefault="002413FD" w:rsidP="008E5AD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</w:t>
      </w:r>
      <w:r w:rsidR="00695171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C25F0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F0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25F0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AC25F0">
        <w:rPr>
          <w:rFonts w:ascii="Times New Roman" w:hAnsi="Times New Roman" w:cs="Times New Roman"/>
          <w:sz w:val="28"/>
          <w:szCs w:val="28"/>
        </w:rPr>
        <w:t>2,0</w:t>
      </w:r>
      <w:r w:rsidR="00695171">
        <w:rPr>
          <w:rFonts w:ascii="Times New Roman" w:hAnsi="Times New Roman" w:cs="Times New Roman"/>
          <w:sz w:val="28"/>
          <w:szCs w:val="28"/>
        </w:rPr>
        <w:t>%.</w:t>
      </w:r>
    </w:p>
    <w:p w:rsidR="00F74E26" w:rsidRPr="00AC25F0" w:rsidRDefault="00F74E26" w:rsidP="008E5AD7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соответствуют утвержденным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="00AC25F0"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AC25F0"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="00AC25F0"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="00AC25F0"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 w:rsid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постановлением правительства Тульской области «О</w:t>
      </w:r>
      <w:r w:rsidR="00AC25F0"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 w:rsid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="00AC25F0"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 w:rsidR="0097767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3FD" w:rsidRPr="00AC25F0" w:rsidRDefault="002413FD" w:rsidP="008E5A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678" w:rsidRDefault="006E5857" w:rsidP="008E5AD7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3F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413FD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="002413FD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977678">
        <w:rPr>
          <w:rFonts w:ascii="Times New Roman" w:hAnsi="Times New Roman" w:cs="Times New Roman"/>
          <w:sz w:val="28"/>
          <w:szCs w:val="28"/>
        </w:rPr>
        <w:t xml:space="preserve">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 w:rsidR="002413FD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="00977678">
        <w:rPr>
          <w:rFonts w:ascii="Times New Roman" w:hAnsi="Times New Roman" w:cs="Times New Roman"/>
          <w:sz w:val="28"/>
          <w:szCs w:val="28"/>
        </w:rPr>
        <w:t xml:space="preserve"> </w:t>
      </w:r>
      <w:r w:rsidR="002413FD">
        <w:rPr>
          <w:rFonts w:ascii="Times New Roman" w:hAnsi="Times New Roman" w:cs="Times New Roman"/>
          <w:sz w:val="28"/>
          <w:szCs w:val="28"/>
        </w:rPr>
        <w:t xml:space="preserve"> </w:t>
      </w:r>
      <w:r w:rsidR="00977678">
        <w:rPr>
          <w:rFonts w:ascii="Times New Roman" w:hAnsi="Times New Roman" w:cs="Times New Roman"/>
          <w:sz w:val="28"/>
          <w:szCs w:val="28"/>
        </w:rPr>
        <w:t>87,7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</w:p>
    <w:p w:rsidR="002413FD" w:rsidRDefault="00977678" w:rsidP="008E5AD7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по разделу «Национальная экономика» составили 2392,6 тыс. рублей или 100,0% уточненного плана. Мероприятия на вышеуказанную сумму не вошли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ни в одну действующую программу МО Куркинский район.</w:t>
      </w:r>
    </w:p>
    <w:p w:rsidR="002413FD" w:rsidRDefault="002413FD" w:rsidP="008E5A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17049,5 тыс. руб. или </w:t>
      </w:r>
      <w:r w:rsidR="00977678">
        <w:rPr>
          <w:rFonts w:ascii="Times New Roman" w:hAnsi="Times New Roman" w:cs="Times New Roman"/>
          <w:sz w:val="28"/>
          <w:szCs w:val="28"/>
        </w:rPr>
        <w:t>91,9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2413FD" w:rsidRDefault="002413FD" w:rsidP="008E5AD7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9688" w:type="dxa"/>
        <w:tblInd w:w="-176" w:type="dxa"/>
        <w:tblLayout w:type="fixed"/>
        <w:tblLook w:val="04A0"/>
      </w:tblPr>
      <w:tblGrid>
        <w:gridCol w:w="1638"/>
        <w:gridCol w:w="1502"/>
        <w:gridCol w:w="1638"/>
        <w:gridCol w:w="1366"/>
        <w:gridCol w:w="1361"/>
        <w:gridCol w:w="1365"/>
        <w:gridCol w:w="818"/>
      </w:tblGrid>
      <w:tr w:rsidR="002413FD" w:rsidTr="00980D8E">
        <w:trPr>
          <w:trHeight w:val="11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9C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8E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E7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1129C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</w:t>
            </w:r>
            <w:r w:rsidR="00C461E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77678" w:rsidTr="00980D8E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77678" w:rsidTr="00980D8E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977678" w:rsidTr="00980D8E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77678" w:rsidTr="00980D8E">
        <w:trPr>
          <w:trHeight w:val="28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2089,5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77678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4261,1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8" w:rsidRDefault="00980D8E" w:rsidP="008E5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8E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Pr="00980D8E">
        <w:rPr>
          <w:rFonts w:ascii="Times New Roman" w:hAnsi="Times New Roman" w:cs="Times New Roman"/>
          <w:sz w:val="28"/>
          <w:szCs w:val="28"/>
          <w:u w:val="single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кассовые расходы  произведены  по взносам на капитальный ремонт муниципального жилого фонда</w:t>
      </w:r>
      <w:r w:rsidR="00F561D6">
        <w:rPr>
          <w:rFonts w:ascii="Times New Roman" w:hAnsi="Times New Roman" w:cs="Times New Roman"/>
          <w:sz w:val="28"/>
          <w:szCs w:val="28"/>
        </w:rPr>
        <w:t xml:space="preserve"> в сумме 33,0 тыс. рублей, на сумму 204,2 тыс. рублей проведена оплата услуг по содержанию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171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F561D6">
        <w:rPr>
          <w:rFonts w:ascii="Times New Roman" w:hAnsi="Times New Roman" w:cs="Times New Roman"/>
          <w:sz w:val="28"/>
          <w:szCs w:val="28"/>
        </w:rPr>
        <w:t xml:space="preserve"> 3413,3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6E2D19">
        <w:rPr>
          <w:rFonts w:ascii="Times New Roman" w:hAnsi="Times New Roman" w:cs="Times New Roman"/>
          <w:sz w:val="28"/>
          <w:szCs w:val="28"/>
        </w:rPr>
        <w:t>с. руб. Расходы произведены на работы и 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 в сумме </w:t>
      </w:r>
      <w:r w:rsidR="00F561D6">
        <w:rPr>
          <w:rFonts w:ascii="Times New Roman" w:hAnsi="Times New Roman" w:cs="Times New Roman"/>
          <w:sz w:val="28"/>
          <w:szCs w:val="28"/>
        </w:rPr>
        <w:t>1142,2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6E2D19">
        <w:rPr>
          <w:rFonts w:ascii="Times New Roman" w:hAnsi="Times New Roman" w:cs="Times New Roman"/>
          <w:sz w:val="28"/>
          <w:szCs w:val="28"/>
        </w:rPr>
        <w:t xml:space="preserve"> на исполнение мероприятий по программе «Народный бюджет» направлено </w:t>
      </w:r>
      <w:r w:rsidR="00F561D6">
        <w:rPr>
          <w:rFonts w:ascii="Times New Roman" w:hAnsi="Times New Roman" w:cs="Times New Roman"/>
          <w:sz w:val="28"/>
          <w:szCs w:val="28"/>
        </w:rPr>
        <w:t>2271,1</w:t>
      </w:r>
      <w:r w:rsidR="006E2D1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F561D6">
        <w:rPr>
          <w:rFonts w:ascii="Times New Roman" w:hAnsi="Times New Roman" w:cs="Times New Roman"/>
          <w:sz w:val="28"/>
          <w:szCs w:val="28"/>
        </w:rPr>
        <w:t>158,9</w:t>
      </w:r>
      <w:r w:rsidR="006E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на уличное освещение – </w:t>
      </w:r>
      <w:r w:rsidR="006E2D19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561D6">
        <w:rPr>
          <w:rFonts w:ascii="Times New Roman" w:hAnsi="Times New Roman" w:cs="Times New Roman"/>
          <w:sz w:val="28"/>
          <w:szCs w:val="28"/>
        </w:rPr>
        <w:t>лей</w:t>
      </w:r>
      <w:r w:rsidR="006E2D19">
        <w:rPr>
          <w:rFonts w:ascii="Times New Roman" w:hAnsi="Times New Roman" w:cs="Times New Roman"/>
          <w:sz w:val="28"/>
          <w:szCs w:val="28"/>
        </w:rPr>
        <w:t>,</w:t>
      </w:r>
      <w:r w:rsidR="00F561D6">
        <w:rPr>
          <w:rFonts w:ascii="Times New Roman" w:hAnsi="Times New Roman" w:cs="Times New Roman"/>
          <w:sz w:val="28"/>
          <w:szCs w:val="28"/>
        </w:rPr>
        <w:t xml:space="preserve"> на общие мероприятия по благоустройству 19,9 тыс. рублей и </w:t>
      </w:r>
      <w:r w:rsidR="006E2D19" w:rsidRPr="006E2D19">
        <w:rPr>
          <w:rFonts w:ascii="Times New Roman" w:hAnsi="Times New Roman" w:cs="Times New Roman"/>
          <w:sz w:val="28"/>
          <w:szCs w:val="28"/>
        </w:rPr>
        <w:t xml:space="preserve"> </w:t>
      </w:r>
      <w:r w:rsidR="006E2D19">
        <w:rPr>
          <w:rFonts w:ascii="Times New Roman" w:hAnsi="Times New Roman" w:cs="Times New Roman"/>
          <w:sz w:val="28"/>
          <w:szCs w:val="28"/>
        </w:rPr>
        <w:t xml:space="preserve">на исполнение мероприятий по программе «Народный бюджет» направлено </w:t>
      </w:r>
      <w:r w:rsidR="00F561D6">
        <w:rPr>
          <w:rFonts w:ascii="Times New Roman" w:hAnsi="Times New Roman" w:cs="Times New Roman"/>
          <w:sz w:val="28"/>
          <w:szCs w:val="28"/>
        </w:rPr>
        <w:t>99,0</w:t>
      </w:r>
      <w:r w:rsidR="006E2D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5171" w:rsidRDefault="006E2D19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2D19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1D6">
        <w:rPr>
          <w:rFonts w:ascii="Times New Roman" w:hAnsi="Times New Roman" w:cs="Times New Roman"/>
          <w:sz w:val="28"/>
          <w:szCs w:val="28"/>
        </w:rPr>
        <w:t>396,1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F561D6">
        <w:rPr>
          <w:rFonts w:ascii="Times New Roman" w:hAnsi="Times New Roman" w:cs="Times New Roman"/>
          <w:sz w:val="28"/>
          <w:szCs w:val="28"/>
        </w:rPr>
        <w:t>396,1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561D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%) на исполнение </w:t>
      </w:r>
      <w:r w:rsidR="00910F67">
        <w:rPr>
          <w:rFonts w:ascii="Times New Roman" w:hAnsi="Times New Roman" w:cs="Times New Roman"/>
          <w:sz w:val="28"/>
          <w:szCs w:val="28"/>
        </w:rPr>
        <w:t>программы «Народный бюджет».</w:t>
      </w:r>
    </w:p>
    <w:p w:rsidR="002413FD" w:rsidRDefault="002413FD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561D6">
        <w:rPr>
          <w:rFonts w:ascii="Times New Roman" w:hAnsi="Times New Roman" w:cs="Times New Roman"/>
          <w:sz w:val="28"/>
          <w:szCs w:val="28"/>
        </w:rPr>
        <w:t>1015,7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10F6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В </w:t>
      </w:r>
      <w:r w:rsidR="001129C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расходы произведены на сумму </w:t>
      </w:r>
      <w:r w:rsidR="00F561D6">
        <w:rPr>
          <w:rFonts w:ascii="Times New Roman" w:hAnsi="Times New Roman" w:cs="Times New Roman"/>
          <w:sz w:val="28"/>
          <w:szCs w:val="28"/>
        </w:rPr>
        <w:t>1382,0</w:t>
      </w:r>
      <w:r w:rsidR="0091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F561D6">
        <w:rPr>
          <w:rFonts w:ascii="Times New Roman" w:hAnsi="Times New Roman" w:cs="Times New Roman"/>
          <w:sz w:val="28"/>
          <w:szCs w:val="28"/>
        </w:rPr>
        <w:t>136,0</w:t>
      </w:r>
      <w:r w:rsidR="00910F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суммы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61D6" w:rsidRDefault="00F561D6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="00D116A2">
        <w:rPr>
          <w:rFonts w:ascii="Times New Roman" w:hAnsi="Times New Roman" w:cs="Times New Roman"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b/>
          <w:sz w:val="28"/>
          <w:szCs w:val="28"/>
        </w:rPr>
        <w:t>«Социальная политика</w:t>
      </w:r>
      <w:r w:rsidR="00D116A2" w:rsidRPr="00D116A2">
        <w:rPr>
          <w:rFonts w:ascii="Times New Roman" w:hAnsi="Times New Roman" w:cs="Times New Roman"/>
          <w:b/>
          <w:sz w:val="28"/>
          <w:szCs w:val="28"/>
        </w:rPr>
        <w:t>»</w:t>
      </w:r>
      <w:r w:rsidR="00D11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A2" w:rsidRPr="00D116A2"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</w:t>
      </w:r>
      <w:r w:rsidR="00D116A2">
        <w:rPr>
          <w:rFonts w:ascii="Times New Roman" w:hAnsi="Times New Roman" w:cs="Times New Roman"/>
          <w:sz w:val="28"/>
          <w:szCs w:val="28"/>
        </w:rPr>
        <w:t xml:space="preserve"> </w:t>
      </w:r>
      <w:r w:rsidR="00D116A2" w:rsidRPr="00D116A2">
        <w:rPr>
          <w:rFonts w:ascii="Times New Roman" w:hAnsi="Times New Roman" w:cs="Times New Roman"/>
          <w:sz w:val="28"/>
          <w:szCs w:val="28"/>
        </w:rPr>
        <w:t>обеспечение</w:t>
      </w:r>
      <w:r w:rsidR="00D116A2">
        <w:rPr>
          <w:rFonts w:ascii="Times New Roman" w:hAnsi="Times New Roman" w:cs="Times New Roman"/>
          <w:sz w:val="28"/>
          <w:szCs w:val="28"/>
        </w:rPr>
        <w:t xml:space="preserve">  бывших  муниципальных служащих на сумму 350,2 тыс. рублей.</w:t>
      </w:r>
    </w:p>
    <w:p w:rsidR="00D116A2" w:rsidRPr="00D116A2" w:rsidRDefault="00D116A2" w:rsidP="008E5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 разделу «Средства массовой информации»  оплачены м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в средствах массовой информации деятельности Администрации муниципального образования и иной социально-значимой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274,2 тыс. рублей.</w:t>
      </w:r>
    </w:p>
    <w:p w:rsidR="00D116A2" w:rsidRPr="00D116A2" w:rsidRDefault="00D116A2" w:rsidP="008E5AD7">
      <w:pPr>
        <w:pStyle w:val="ab"/>
        <w:spacing w:line="276" w:lineRule="auto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D116A2" w:rsidRPr="00D116A2" w:rsidRDefault="00D116A2" w:rsidP="008E5AD7">
      <w:pPr>
        <w:pStyle w:val="ab"/>
        <w:spacing w:line="276" w:lineRule="auto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26"/>
        <w:gridCol w:w="1434"/>
        <w:gridCol w:w="1926"/>
        <w:gridCol w:w="1797"/>
        <w:gridCol w:w="1688"/>
      </w:tblGrid>
      <w:tr w:rsidR="00CA7160" w:rsidTr="00AC40C0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на 2016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60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Уточнение </w:t>
            </w:r>
            <w:r w:rsidR="00CA7160">
              <w:rPr>
                <w:sz w:val="24"/>
                <w:lang w:eastAsia="en-US"/>
              </w:rPr>
              <w:t>финансирования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2016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CA7160" w:rsidTr="00AC40C0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Обеспечение качественным жильем и услугами ЖКХ населения муниципального </w:t>
            </w:r>
            <w:r>
              <w:rPr>
                <w:sz w:val="24"/>
                <w:lang w:eastAsia="en-US"/>
              </w:rPr>
              <w:lastRenderedPageBreak/>
              <w:t>образования Куркинский район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1208,0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1567,8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1543,7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98,5</w:t>
            </w:r>
          </w:p>
        </w:tc>
      </w:tr>
      <w:tr w:rsidR="00CA7160" w:rsidTr="00AC40C0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CA7160" w:rsidTr="00AC40C0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350,3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A7160" w:rsidTr="00AC40C0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D116A2" w:rsidRDefault="00D116A2" w:rsidP="008E5AD7">
            <w:pPr>
              <w:pStyle w:val="ab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D116A2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1918,1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1893,9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A2" w:rsidRDefault="00CA7160" w:rsidP="008E5AD7">
            <w:pPr>
              <w:pStyle w:val="ab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98,7</w:t>
            </w:r>
          </w:p>
        </w:tc>
      </w:tr>
    </w:tbl>
    <w:p w:rsidR="00D116A2" w:rsidRDefault="00D116A2" w:rsidP="008E5AD7">
      <w:pPr>
        <w:pStyle w:val="ab"/>
        <w:spacing w:line="276" w:lineRule="auto"/>
      </w:pPr>
      <w:r>
        <w:tab/>
      </w:r>
    </w:p>
    <w:p w:rsidR="00D116A2" w:rsidRDefault="00D116A2" w:rsidP="008E5AD7">
      <w:pPr>
        <w:pStyle w:val="ab"/>
        <w:spacing w:line="276" w:lineRule="auto"/>
      </w:pPr>
      <w:r>
        <w:t xml:space="preserve">      Отмечен высокий  уровень исполнения мероприятий, утвержденных муниципальными программами.</w:t>
      </w:r>
    </w:p>
    <w:p w:rsidR="00F97409" w:rsidRPr="00FE6437" w:rsidRDefault="00F97409" w:rsidP="008E5AD7">
      <w:pPr>
        <w:pStyle w:val="ab"/>
        <w:spacing w:line="276" w:lineRule="auto"/>
        <w:rPr>
          <w:szCs w:val="28"/>
        </w:rPr>
      </w:pPr>
      <w:r>
        <w:tab/>
        <w:t>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  <w:szCs w:val="28"/>
        </w:rPr>
        <w:t xml:space="preserve"> "Информационная политика в муниципальном образовании Куркинский район"</w:t>
      </w:r>
    </w:p>
    <w:p w:rsidR="00F97409" w:rsidRDefault="00F97409" w:rsidP="008E5AD7">
      <w:pPr>
        <w:pStyle w:val="ab"/>
        <w:spacing w:line="276" w:lineRule="auto"/>
      </w:pPr>
    </w:p>
    <w:p w:rsidR="006D46EC" w:rsidRDefault="006D46EC" w:rsidP="008E5AD7">
      <w:pPr>
        <w:pStyle w:val="ab"/>
        <w:spacing w:line="276" w:lineRule="auto"/>
      </w:pPr>
      <w:r>
        <w:tab/>
        <w:t xml:space="preserve"> Стоит отметить низкий процент расходов бюджета МО Самарское по действующим программам – 15,8%.</w:t>
      </w:r>
    </w:p>
    <w:p w:rsidR="00D116A2" w:rsidRDefault="00D116A2" w:rsidP="008E5AD7">
      <w:pPr>
        <w:pStyle w:val="ad"/>
        <w:spacing w:line="276" w:lineRule="auto"/>
        <w:ind w:firstLine="0"/>
      </w:pPr>
    </w:p>
    <w:p w:rsidR="002768FB" w:rsidRPr="0098434B" w:rsidRDefault="002768FB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FB" w:rsidRDefault="002768FB" w:rsidP="008E5AD7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007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2768FB" w:rsidRDefault="002768FB" w:rsidP="008E5AD7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8FB" w:rsidRDefault="002768FB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долга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не было</w:t>
      </w:r>
      <w:r w:rsidR="00660070">
        <w:rPr>
          <w:rFonts w:ascii="Times New Roman" w:hAnsi="Times New Roman" w:cs="Times New Roman"/>
          <w:sz w:val="28"/>
          <w:szCs w:val="28"/>
        </w:rPr>
        <w:t>.</w:t>
      </w:r>
    </w:p>
    <w:p w:rsidR="002768FB" w:rsidRDefault="002768FB" w:rsidP="008E5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</w:t>
      </w:r>
      <w:r w:rsidR="00660070">
        <w:rPr>
          <w:rFonts w:ascii="Times New Roman" w:hAnsi="Times New Roman" w:cs="Times New Roman"/>
          <w:sz w:val="28"/>
          <w:szCs w:val="28"/>
        </w:rPr>
        <w:t>.</w:t>
      </w:r>
    </w:p>
    <w:p w:rsidR="002768FB" w:rsidRDefault="002768FB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Ссуды из вышестоящих бюджетов РФ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2768FB" w:rsidRDefault="002768FB" w:rsidP="008E5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2768FB" w:rsidRDefault="002768FB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2768FB" w:rsidRDefault="002768FB" w:rsidP="008E5AD7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007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A7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закупки.</w:t>
      </w:r>
    </w:p>
    <w:p w:rsidR="002768FB" w:rsidRDefault="002768FB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1225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 заключались в </w:t>
      </w:r>
      <w:r w:rsidR="00C461E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 в сумме до 100,0 тыс.</w:t>
      </w:r>
      <w:r w:rsidR="0066007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D064A5">
        <w:rPr>
          <w:rFonts w:ascii="Times New Roman" w:hAnsi="Times New Roman" w:cs="Times New Roman"/>
          <w:sz w:val="28"/>
          <w:szCs w:val="28"/>
        </w:rPr>
        <w:t>.</w:t>
      </w:r>
    </w:p>
    <w:p w:rsidR="00660070" w:rsidRDefault="00D064A5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0070">
        <w:rPr>
          <w:rFonts w:ascii="Times New Roman" w:hAnsi="Times New Roman" w:cs="Times New Roman"/>
          <w:sz w:val="28"/>
          <w:szCs w:val="28"/>
        </w:rPr>
        <w:t>роведен</w:t>
      </w:r>
      <w:r w:rsidR="00B81225">
        <w:rPr>
          <w:rFonts w:ascii="Times New Roman" w:hAnsi="Times New Roman" w:cs="Times New Roman"/>
          <w:sz w:val="28"/>
          <w:szCs w:val="28"/>
        </w:rPr>
        <w:t xml:space="preserve">о четыре </w:t>
      </w:r>
      <w:r w:rsidR="00660070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B81225">
        <w:rPr>
          <w:rFonts w:ascii="Times New Roman" w:hAnsi="Times New Roman" w:cs="Times New Roman"/>
          <w:sz w:val="28"/>
          <w:szCs w:val="28"/>
        </w:rPr>
        <w:t>а</w:t>
      </w:r>
      <w:r w:rsidR="00660070">
        <w:rPr>
          <w:rFonts w:ascii="Times New Roman" w:hAnsi="Times New Roman" w:cs="Times New Roman"/>
          <w:sz w:val="28"/>
          <w:szCs w:val="28"/>
        </w:rPr>
        <w:t xml:space="preserve">  на заключение муниципальн</w:t>
      </w:r>
      <w:r w:rsidR="00B81225">
        <w:rPr>
          <w:rFonts w:ascii="Times New Roman" w:hAnsi="Times New Roman" w:cs="Times New Roman"/>
          <w:sz w:val="28"/>
          <w:szCs w:val="28"/>
        </w:rPr>
        <w:t xml:space="preserve">ых </w:t>
      </w:r>
      <w:r w:rsidR="00660070">
        <w:rPr>
          <w:rFonts w:ascii="Times New Roman" w:hAnsi="Times New Roman" w:cs="Times New Roman"/>
          <w:sz w:val="28"/>
          <w:szCs w:val="28"/>
        </w:rPr>
        <w:t>контракт</w:t>
      </w:r>
      <w:r w:rsidR="00B81225">
        <w:rPr>
          <w:rFonts w:ascii="Times New Roman" w:hAnsi="Times New Roman" w:cs="Times New Roman"/>
          <w:sz w:val="28"/>
          <w:szCs w:val="28"/>
        </w:rPr>
        <w:t>ов</w:t>
      </w:r>
      <w:r w:rsidR="00660070">
        <w:rPr>
          <w:rFonts w:ascii="Times New Roman" w:hAnsi="Times New Roman" w:cs="Times New Roman"/>
          <w:sz w:val="28"/>
          <w:szCs w:val="28"/>
        </w:rPr>
        <w:t xml:space="preserve">  по программе «Народный бюджет» на сумму </w:t>
      </w:r>
      <w:r w:rsidR="00B81225">
        <w:rPr>
          <w:rFonts w:ascii="Times New Roman" w:hAnsi="Times New Roman" w:cs="Times New Roman"/>
          <w:sz w:val="28"/>
          <w:szCs w:val="28"/>
        </w:rPr>
        <w:t>4509,8</w:t>
      </w:r>
      <w:r w:rsidR="0066007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60070" w:rsidRPr="00914E9A" w:rsidRDefault="00312A5C" w:rsidP="008E5AD7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Заключены</w:t>
      </w:r>
      <w:r w:rsidR="00660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контракты </w:t>
      </w:r>
      <w:r w:rsidR="00660070">
        <w:rPr>
          <w:sz w:val="28"/>
          <w:szCs w:val="28"/>
        </w:rPr>
        <w:t xml:space="preserve">в соответствии с пунктом </w:t>
      </w:r>
      <w:r w:rsidR="00660070" w:rsidRPr="00914E9A">
        <w:rPr>
          <w:color w:val="000000" w:themeColor="text1"/>
          <w:sz w:val="28"/>
          <w:szCs w:val="28"/>
        </w:rPr>
        <w:t xml:space="preserve">1 </w:t>
      </w:r>
      <w:r w:rsidR="00660070">
        <w:rPr>
          <w:color w:val="000000" w:themeColor="text1"/>
          <w:sz w:val="28"/>
          <w:szCs w:val="28"/>
        </w:rPr>
        <w:t>(</w:t>
      </w:r>
      <w:r w:rsidR="00660070" w:rsidRPr="00914E9A">
        <w:rPr>
          <w:color w:val="000000" w:themeColor="text1"/>
          <w:spacing w:val="2"/>
          <w:sz w:val="28"/>
          <w:szCs w:val="28"/>
          <w:shd w:val="clear" w:color="auto" w:fill="FFFFFF"/>
        </w:rPr>
        <w:t>осуществление закупки товара, работы или услуги, которые относятся к сфере деятельности субъектов естественных монополий</w:t>
      </w:r>
      <w:r w:rsidR="00660070">
        <w:rPr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660070"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660070" w:rsidRPr="00914E9A">
        <w:rPr>
          <w:color w:val="000000" w:themeColor="text1"/>
          <w:sz w:val="28"/>
          <w:szCs w:val="28"/>
        </w:rPr>
        <w:t>ст</w:t>
      </w:r>
      <w:r w:rsidR="00660070">
        <w:rPr>
          <w:sz w:val="28"/>
          <w:szCs w:val="28"/>
        </w:rPr>
        <w:t xml:space="preserve">атьи 93 </w:t>
      </w:r>
      <w:r w:rsidR="00660070" w:rsidRPr="00914E9A">
        <w:rPr>
          <w:color w:val="000000" w:themeColor="text1"/>
          <w:spacing w:val="2"/>
          <w:sz w:val="28"/>
          <w:szCs w:val="28"/>
        </w:rPr>
        <w:t xml:space="preserve">федерального закона </w:t>
      </w:r>
      <w:r w:rsidR="00660070">
        <w:rPr>
          <w:color w:val="000000" w:themeColor="text1"/>
          <w:spacing w:val="2"/>
          <w:sz w:val="28"/>
          <w:szCs w:val="28"/>
        </w:rPr>
        <w:t>«</w:t>
      </w:r>
      <w:r w:rsidR="00660070"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60070">
        <w:rPr>
          <w:color w:val="000000" w:themeColor="text1"/>
          <w:spacing w:val="2"/>
          <w:sz w:val="28"/>
          <w:szCs w:val="28"/>
        </w:rPr>
        <w:t>».</w:t>
      </w:r>
    </w:p>
    <w:p w:rsidR="00660070" w:rsidRDefault="00660070" w:rsidP="008E5A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8FB" w:rsidRDefault="00400775" w:rsidP="008E5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14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8FB">
        <w:rPr>
          <w:rFonts w:ascii="Times New Roman" w:hAnsi="Times New Roman" w:cs="Times New Roman"/>
          <w:b/>
          <w:sz w:val="28"/>
          <w:szCs w:val="28"/>
        </w:rPr>
        <w:t>Состояние кредиторской и дебиторской задолженности.</w:t>
      </w:r>
    </w:p>
    <w:p w:rsidR="00660070" w:rsidRDefault="00660070" w:rsidP="008E5AD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данным ф. 0503169)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FB2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FB2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478153,57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 w:rsidR="00C46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FB2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FB2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FB2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954694,90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</w:t>
      </w:r>
      <w:r w:rsidR="0091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год составило </w:t>
      </w:r>
      <w:r w:rsidR="0091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476541,33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91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(+99,7%)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0070" w:rsidRPr="002E3AF0" w:rsidRDefault="00660070" w:rsidP="008E5A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Дебиторская задолженность (по данным ф. 0503169) за год </w:t>
      </w:r>
      <w:r w:rsidR="00651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 с  5303,51 рублей до 8563,35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на </w:t>
      </w:r>
      <w:r w:rsidR="00651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3259,84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651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(+61,5%)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0070" w:rsidRPr="002E3AF0" w:rsidRDefault="00660070" w:rsidP="008E5A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2413FD" w:rsidRDefault="002413FD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D064A5" w:rsidRPr="009149B0" w:rsidRDefault="00D064A5" w:rsidP="008E5AD7">
      <w:pPr>
        <w:pStyle w:val="a9"/>
        <w:numPr>
          <w:ilvl w:val="0"/>
          <w:numId w:val="5"/>
        </w:numPr>
        <w:tabs>
          <w:tab w:val="left" w:pos="709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9B0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461EA" w:rsidRPr="009149B0">
        <w:rPr>
          <w:rFonts w:ascii="Times New Roman" w:hAnsi="Times New Roman" w:cs="Times New Roman"/>
          <w:sz w:val="28"/>
          <w:szCs w:val="28"/>
        </w:rPr>
        <w:t>2016</w:t>
      </w:r>
      <w:r w:rsidRPr="009149B0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9149B0">
        <w:rPr>
          <w:rFonts w:ascii="Times New Roman" w:hAnsi="Times New Roman" w:cs="Times New Roman"/>
          <w:sz w:val="28"/>
          <w:szCs w:val="28"/>
        </w:rPr>
        <w:tab/>
      </w:r>
    </w:p>
    <w:p w:rsidR="00D064A5" w:rsidRDefault="009149B0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4A5">
        <w:rPr>
          <w:rFonts w:ascii="Times New Roman" w:hAnsi="Times New Roman" w:cs="Times New Roman"/>
          <w:sz w:val="28"/>
          <w:szCs w:val="28"/>
        </w:rPr>
        <w:t xml:space="preserve">.В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A5">
        <w:rPr>
          <w:rFonts w:ascii="Times New Roman" w:hAnsi="Times New Roman" w:cs="Times New Roman"/>
          <w:sz w:val="28"/>
          <w:szCs w:val="28"/>
        </w:rPr>
        <w:t>Положение о бюджетном процессе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A5">
        <w:rPr>
          <w:rFonts w:ascii="Times New Roman" w:hAnsi="Times New Roman" w:cs="Times New Roman"/>
          <w:sz w:val="28"/>
          <w:szCs w:val="28"/>
        </w:rPr>
        <w:t xml:space="preserve"> Самарское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4A5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06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A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A5">
        <w:rPr>
          <w:rFonts w:ascii="Times New Roman" w:hAnsi="Times New Roman" w:cs="Times New Roman"/>
          <w:sz w:val="28"/>
          <w:szCs w:val="28"/>
        </w:rPr>
        <w:t xml:space="preserve">требуется внесение </w:t>
      </w:r>
      <w:r w:rsidR="00D06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A5">
        <w:rPr>
          <w:rFonts w:ascii="Times New Roman" w:hAnsi="Times New Roman" w:cs="Times New Roman"/>
          <w:sz w:val="28"/>
          <w:szCs w:val="28"/>
        </w:rPr>
        <w:t xml:space="preserve">с учетом действующих редакции Бюджетного Кодекса, структуры администрации муниципального образования Самарское </w:t>
      </w:r>
      <w:proofErr w:type="spellStart"/>
      <w:r w:rsidR="00D064A5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064A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149B0" w:rsidRDefault="009149B0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исполнении бюджета МО Самарское в 2017 году принять меры </w:t>
      </w:r>
      <w:r w:rsidR="00643C1B">
        <w:rPr>
          <w:rFonts w:ascii="Times New Roman" w:hAnsi="Times New Roman" w:cs="Times New Roman"/>
          <w:sz w:val="28"/>
          <w:szCs w:val="28"/>
        </w:rPr>
        <w:t>для сокращения дебиторской и кредиторской задолженности.</w:t>
      </w:r>
    </w:p>
    <w:p w:rsidR="009149B0" w:rsidRDefault="009149B0" w:rsidP="008E5AD7">
      <w:pPr>
        <w:pStyle w:val="a9"/>
        <w:tabs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C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.Контрольно-ревизионная комиссия муниципального образования Куркинский район считает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Собранию депутатов 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утвердить годовой отчет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за 2016 год.</w:t>
      </w:r>
    </w:p>
    <w:p w:rsidR="009149B0" w:rsidRDefault="009149B0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26" w:rsidRDefault="00F74E26" w:rsidP="008E5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8E5AD7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413FD" w:rsidRDefault="002413FD" w:rsidP="008E5AD7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2413FD" w:rsidRDefault="002413FD" w:rsidP="008E5AD7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413FD" w:rsidRDefault="002413FD" w:rsidP="008E5AD7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2413FD" w:rsidRDefault="002413FD" w:rsidP="008E5AD7"/>
    <w:p w:rsidR="009F1EC7" w:rsidRDefault="009F1EC7" w:rsidP="008E5AD7"/>
    <w:sectPr w:rsidR="009F1EC7" w:rsidSect="00C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FD"/>
    <w:rsid w:val="000129E1"/>
    <w:rsid w:val="00043612"/>
    <w:rsid w:val="00043675"/>
    <w:rsid w:val="00092556"/>
    <w:rsid w:val="000B1779"/>
    <w:rsid w:val="000D6B70"/>
    <w:rsid w:val="000F2393"/>
    <w:rsid w:val="001112C4"/>
    <w:rsid w:val="00111691"/>
    <w:rsid w:val="001129C5"/>
    <w:rsid w:val="0017394B"/>
    <w:rsid w:val="00197354"/>
    <w:rsid w:val="001A3D8D"/>
    <w:rsid w:val="001C378F"/>
    <w:rsid w:val="002413FD"/>
    <w:rsid w:val="00243E6A"/>
    <w:rsid w:val="002768FB"/>
    <w:rsid w:val="0029750F"/>
    <w:rsid w:val="002A1E75"/>
    <w:rsid w:val="002A45AF"/>
    <w:rsid w:val="002C500E"/>
    <w:rsid w:val="002F23C7"/>
    <w:rsid w:val="00305243"/>
    <w:rsid w:val="00312A5C"/>
    <w:rsid w:val="003462A3"/>
    <w:rsid w:val="00353B0E"/>
    <w:rsid w:val="0036196E"/>
    <w:rsid w:val="003977CD"/>
    <w:rsid w:val="003F3FF4"/>
    <w:rsid w:val="00400775"/>
    <w:rsid w:val="00403EC7"/>
    <w:rsid w:val="0044096B"/>
    <w:rsid w:val="0045699C"/>
    <w:rsid w:val="00461BB7"/>
    <w:rsid w:val="004741E7"/>
    <w:rsid w:val="004A0B08"/>
    <w:rsid w:val="004D1247"/>
    <w:rsid w:val="00532C5A"/>
    <w:rsid w:val="00593255"/>
    <w:rsid w:val="005B2633"/>
    <w:rsid w:val="005C7946"/>
    <w:rsid w:val="00623822"/>
    <w:rsid w:val="00643C1B"/>
    <w:rsid w:val="00645B3B"/>
    <w:rsid w:val="0065089D"/>
    <w:rsid w:val="00651579"/>
    <w:rsid w:val="00657378"/>
    <w:rsid w:val="00660070"/>
    <w:rsid w:val="00675071"/>
    <w:rsid w:val="00695171"/>
    <w:rsid w:val="006C7952"/>
    <w:rsid w:val="006D46EC"/>
    <w:rsid w:val="006E2D19"/>
    <w:rsid w:val="006E5857"/>
    <w:rsid w:val="00721FBE"/>
    <w:rsid w:val="007358DE"/>
    <w:rsid w:val="00747B2F"/>
    <w:rsid w:val="00765F72"/>
    <w:rsid w:val="007A2D10"/>
    <w:rsid w:val="007F3EB7"/>
    <w:rsid w:val="00805E97"/>
    <w:rsid w:val="00814A65"/>
    <w:rsid w:val="00833680"/>
    <w:rsid w:val="00841479"/>
    <w:rsid w:val="008558B4"/>
    <w:rsid w:val="00863A76"/>
    <w:rsid w:val="00874859"/>
    <w:rsid w:val="008B271D"/>
    <w:rsid w:val="008E5AD7"/>
    <w:rsid w:val="008F6894"/>
    <w:rsid w:val="009062A5"/>
    <w:rsid w:val="00910F67"/>
    <w:rsid w:val="009149B0"/>
    <w:rsid w:val="0097030C"/>
    <w:rsid w:val="00977678"/>
    <w:rsid w:val="00980D8E"/>
    <w:rsid w:val="00982689"/>
    <w:rsid w:val="0098434B"/>
    <w:rsid w:val="009A45C4"/>
    <w:rsid w:val="009A4C92"/>
    <w:rsid w:val="009E0F14"/>
    <w:rsid w:val="009F1EC7"/>
    <w:rsid w:val="00A079D4"/>
    <w:rsid w:val="00A351E3"/>
    <w:rsid w:val="00A36C21"/>
    <w:rsid w:val="00A538BF"/>
    <w:rsid w:val="00A86F99"/>
    <w:rsid w:val="00AA0D6B"/>
    <w:rsid w:val="00AB1816"/>
    <w:rsid w:val="00AC25F0"/>
    <w:rsid w:val="00AC40C0"/>
    <w:rsid w:val="00AC58CB"/>
    <w:rsid w:val="00B36EA6"/>
    <w:rsid w:val="00B460BE"/>
    <w:rsid w:val="00B6359B"/>
    <w:rsid w:val="00B81225"/>
    <w:rsid w:val="00B84D13"/>
    <w:rsid w:val="00B87493"/>
    <w:rsid w:val="00B93DDF"/>
    <w:rsid w:val="00BD7AFE"/>
    <w:rsid w:val="00BE4827"/>
    <w:rsid w:val="00C01ED1"/>
    <w:rsid w:val="00C02C5C"/>
    <w:rsid w:val="00C248B5"/>
    <w:rsid w:val="00C267E2"/>
    <w:rsid w:val="00C27D61"/>
    <w:rsid w:val="00C32920"/>
    <w:rsid w:val="00C461EA"/>
    <w:rsid w:val="00C81254"/>
    <w:rsid w:val="00C93093"/>
    <w:rsid w:val="00CA7160"/>
    <w:rsid w:val="00CC07BE"/>
    <w:rsid w:val="00CD6FAF"/>
    <w:rsid w:val="00D064A5"/>
    <w:rsid w:val="00D116A2"/>
    <w:rsid w:val="00D1274E"/>
    <w:rsid w:val="00D36B08"/>
    <w:rsid w:val="00D7491C"/>
    <w:rsid w:val="00D91E68"/>
    <w:rsid w:val="00D954CE"/>
    <w:rsid w:val="00DA21B2"/>
    <w:rsid w:val="00DD32EE"/>
    <w:rsid w:val="00E04425"/>
    <w:rsid w:val="00E27A2D"/>
    <w:rsid w:val="00E35E05"/>
    <w:rsid w:val="00E51E5A"/>
    <w:rsid w:val="00E643E7"/>
    <w:rsid w:val="00E95334"/>
    <w:rsid w:val="00EB7270"/>
    <w:rsid w:val="00EC5AB8"/>
    <w:rsid w:val="00ED42CF"/>
    <w:rsid w:val="00ED6E7D"/>
    <w:rsid w:val="00EE116C"/>
    <w:rsid w:val="00F40F17"/>
    <w:rsid w:val="00F561D6"/>
    <w:rsid w:val="00F61A5C"/>
    <w:rsid w:val="00F66C3E"/>
    <w:rsid w:val="00F74E26"/>
    <w:rsid w:val="00F97409"/>
    <w:rsid w:val="00FB2533"/>
    <w:rsid w:val="00FD28E1"/>
    <w:rsid w:val="00FE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3FD"/>
  </w:style>
  <w:style w:type="paragraph" w:styleId="a5">
    <w:name w:val="footer"/>
    <w:basedOn w:val="a"/>
    <w:link w:val="a6"/>
    <w:uiPriority w:val="99"/>
    <w:semiHidden/>
    <w:unhideWhenUsed/>
    <w:rsid w:val="002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3FD"/>
  </w:style>
  <w:style w:type="paragraph" w:styleId="a7">
    <w:name w:val="Balloon Text"/>
    <w:basedOn w:val="a"/>
    <w:link w:val="a8"/>
    <w:uiPriority w:val="99"/>
    <w:semiHidden/>
    <w:unhideWhenUsed/>
    <w:rsid w:val="002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3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3FD"/>
    <w:pPr>
      <w:ind w:left="720"/>
      <w:contextualSpacing/>
    </w:pPr>
  </w:style>
  <w:style w:type="table" w:styleId="aa">
    <w:name w:val="Table Grid"/>
    <w:basedOn w:val="a1"/>
    <w:uiPriority w:val="59"/>
    <w:rsid w:val="0024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0070"/>
  </w:style>
  <w:style w:type="paragraph" w:customStyle="1" w:styleId="headertext">
    <w:name w:val="headertext"/>
    <w:basedOn w:val="a"/>
    <w:rsid w:val="0066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D116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116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D116A2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116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9569-208A-4D01-AB23-C587ACDB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dcterms:created xsi:type="dcterms:W3CDTF">2016-02-29T08:00:00Z</dcterms:created>
  <dcterms:modified xsi:type="dcterms:W3CDTF">2017-03-06T15:02:00Z</dcterms:modified>
</cp:coreProperties>
</file>