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2A" w:rsidRDefault="0067742A"/>
    <w:tbl>
      <w:tblPr>
        <w:tblW w:w="4984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325"/>
      </w:tblGrid>
      <w:tr w:rsidR="004C3B21" w:rsidTr="008474F8">
        <w:trPr>
          <w:trHeight w:val="105"/>
        </w:trPr>
        <w:tc>
          <w:tcPr>
            <w:tcW w:w="5000" w:type="pct"/>
            <w:shd w:val="clear" w:color="auto" w:fill="FFFFFF"/>
            <w:hideMark/>
          </w:tcPr>
          <w:p w:rsidR="004C3B21" w:rsidRPr="00045CA2" w:rsidRDefault="004C3B21" w:rsidP="00D20E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  <w:r w:rsidRPr="004C3B21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                                   </w:t>
            </w:r>
            <w:proofErr w:type="gramStart"/>
            <w:r w:rsidR="00045CA2" w:rsidRPr="00045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 w:rsidR="00045CA2" w:rsidRPr="00045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 К Л Ю Ч Е Н И Е                                     </w:t>
            </w:r>
          </w:p>
          <w:p w:rsidR="004C3B21" w:rsidRPr="00045CA2" w:rsidRDefault="00045CA2" w:rsidP="00D20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КОНТРОЛЬНО-РЕВИЗИОННОЙ КОМИССИИ </w:t>
            </w:r>
          </w:p>
          <w:p w:rsidR="004C3B21" w:rsidRPr="00045CA2" w:rsidRDefault="00045CA2" w:rsidP="00D20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КУРКИНСКИЙ РАЙОН </w:t>
            </w:r>
          </w:p>
          <w:p w:rsidR="0059447F" w:rsidRDefault="00045CA2" w:rsidP="00D20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БЮДЖЕТА МО КУРКИНСКИЙ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4C3B21" w:rsidRPr="00045CA2" w:rsidRDefault="00045CA2" w:rsidP="00D20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  </w:t>
            </w:r>
            <w:r w:rsidR="0059447F" w:rsidRPr="005944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9 </w:t>
            </w:r>
            <w:r w:rsidR="005944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 Г. </w:t>
            </w:r>
          </w:p>
          <w:p w:rsidR="004C3B21" w:rsidRDefault="004C3B21" w:rsidP="00D20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C3B21" w:rsidRDefault="004C3B21" w:rsidP="00D20E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Заключение Контрольно-ревизионной комиссии на исполнение бюджета муниципального образования Куркинский район за </w:t>
            </w:r>
            <w:r w:rsidR="005944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2016 года подготовлено в соответствие требованиям Бюджетного Кодекса Российской Федерации, Положения о бюджетном процессе в муниципальном образовании Куркинский район, Положения о контрольно-ревизионной комиссии муниципального образования Куркинский район.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Заключение подготовлено на основании результатов проведенного анализа материалов, представленных администрацией муниципального образования Куркинский район в Собрание представителей муниципального образования Куркинский  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В составе отчета об исполнении бюджета муниципального образования Куркинский район за </w:t>
            </w:r>
            <w:r w:rsidR="005944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2016 года (далее по тексту – Отчет) имеется: Отчет на 01.</w:t>
            </w:r>
            <w:r w:rsidR="005944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.2016</w:t>
            </w:r>
            <w:r w:rsidR="005944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постановление </w:t>
            </w:r>
            <w:r w:rsidR="005944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дминистрации муниципального образования Куркинский район от 1</w:t>
            </w:r>
            <w:r w:rsidR="005944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5944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.2016 г № </w:t>
            </w:r>
            <w:r w:rsidR="005944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955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«Об утверждении отчета об исполнении бюджета муниципального образования Куркинский район за </w:t>
            </w:r>
            <w:r w:rsidR="005944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2016</w:t>
            </w:r>
            <w:r w:rsidR="00D20E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».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При подготовке заключения проведен анализ фактического исполнения бюджета муниципального образования Куркинский район (далее по тексту - Бюджет) по отношению к годовым бюджетным назначениям, утвержденным решением    Собрания    представителей    муниципального     образования Куркинский район от 24.12.2015г. № 17-4</w:t>
            </w:r>
            <w:r w:rsidR="005944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(с учетом изменений)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59447F" w:rsidRDefault="0059447F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4C3B21" w:rsidRDefault="004C3B21" w:rsidP="00D20EDD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ОБЩАЯ ХАРАКТЕРИСТИКА ОТЧЕТА ОБ ИСПОЛНЕНИИ БЮДЖЕТА МУНИЦИПАЛЬНОГО ОБРАЗОВАНИЯ КУРКИНСКИЙ РАЙОН ЗА  </w:t>
            </w:r>
            <w:r w:rsidR="00F1189B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2016 ГОДА</w:t>
            </w:r>
          </w:p>
          <w:p w:rsidR="0067742A" w:rsidRDefault="0067742A" w:rsidP="00D20EDD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D20EDD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Решением Собрания представителей  от 24.12.2015 № 17-4 «О бюджете муниципального образования Куркинский район на 2016 год и плановый период 2017 и 2018 годов» (далее по тексту - Решение) утверждены основные характеристики бюджета на 2016 год: по доходам в сумме 226307,7 тыс. рублей, по расходам в объеме 229007,7 тыс. рублей, дефицитом в сумме 2700,0 тыс. рублей.   </w:t>
            </w:r>
            <w:proofErr w:type="gramEnd"/>
          </w:p>
          <w:p w:rsidR="004C3B21" w:rsidRDefault="00D20EDD" w:rsidP="00703E90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Решением Собрания представителей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 Куркинский район от</w:t>
            </w:r>
            <w:r w:rsidR="007546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28 июня 2016 года </w:t>
            </w:r>
            <w:r w:rsidR="005944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№19-4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внесены </w:t>
            </w:r>
            <w:r w:rsidR="005944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изменения и утверждены основные характеристики бюджета МО Куркинский район  в следующих объемах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:</w:t>
            </w:r>
          </w:p>
          <w:p w:rsidR="00D20EDD" w:rsidRDefault="00D20EDD" w:rsidP="00703E90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- доходы бюджета района в сумме 256111,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58640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рублей;</w:t>
            </w:r>
          </w:p>
          <w:p w:rsidR="00D20EDD" w:rsidRDefault="00D20EDD" w:rsidP="00703E90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- расходы бюджета Района в сумме 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259735,23663 тыс. рублей;</w:t>
            </w:r>
          </w:p>
          <w:p w:rsidR="00703E90" w:rsidRDefault="00703E90" w:rsidP="00703E90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- предельный размер дефицита бюджета района в сумме 3623,65023 тыс. рублей.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Кассовое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исполнение Бюджета за </w:t>
            </w:r>
            <w:r w:rsidR="005944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2016 года по доходам составило </w:t>
            </w:r>
            <w:r w:rsidR="005E236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184107,0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5E236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1,</w:t>
            </w:r>
            <w:r w:rsidR="005E236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уточненному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плану), по расходам – </w:t>
            </w:r>
            <w:r w:rsidR="005E236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175338,0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тыс. рублей (</w:t>
            </w:r>
            <w:r w:rsidR="005E236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67,5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уточненному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плану).  Бюджет исполнен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5E236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8769,0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сложившимся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счёт  остатков собственных средств, неиспользованных субсидий и субвенций из бюджета Тульской области.</w:t>
            </w:r>
          </w:p>
          <w:p w:rsidR="0067742A" w:rsidRDefault="0067742A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4C3B21" w:rsidRDefault="004C3B21" w:rsidP="00D20EDD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АНАЛИЗ ДОХОДНОЙ ЧАСТИ БЮДЖЕТА</w:t>
            </w:r>
          </w:p>
          <w:p w:rsidR="004C3B21" w:rsidRDefault="00E652E7" w:rsidP="00E652E7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исполнения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ной   части   Бюджета </w:t>
            </w:r>
            <w:r w:rsidR="00E233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</w:t>
            </w:r>
            <w:r w:rsidR="00E233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 месяцев</w:t>
            </w:r>
            <w:r w:rsidR="00E233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6 года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разрезе основных групп доходов приведен в таблице.</w:t>
            </w:r>
          </w:p>
          <w:tbl>
            <w:tblPr>
              <w:tblStyle w:val="a3"/>
              <w:tblW w:w="9327" w:type="dxa"/>
              <w:tblLayout w:type="fixed"/>
              <w:tblLook w:val="04A0"/>
            </w:tblPr>
            <w:tblGrid>
              <w:gridCol w:w="2413"/>
              <w:gridCol w:w="2001"/>
              <w:gridCol w:w="1710"/>
              <w:gridCol w:w="1846"/>
              <w:gridCol w:w="1357"/>
            </w:tblGrid>
            <w:tr w:rsidR="00554DB4" w:rsidTr="008474F8">
              <w:trPr>
                <w:trHeight w:val="1045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E233C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Утверждены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на 2016 год, тыс. руб.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E233C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Исполнение на 01.</w:t>
                  </w:r>
                  <w:r w:rsidR="00E233CB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</w:t>
                  </w:r>
                  <w:r w:rsidR="00554DB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.2016г, тыс.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233CB" w:rsidP="00F1189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Исполне-н</w:t>
                  </w:r>
                  <w:r w:rsidR="00F1189B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ие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,</w:t>
                  </w:r>
                  <w:r w:rsidR="00F1189B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652E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554DB4" w:rsidTr="008474F8">
              <w:trPr>
                <w:trHeight w:val="241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Доходы, итого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226307,7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554DB4" w:rsidP="00E233C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256</w:t>
                  </w:r>
                  <w:r w:rsidR="00E233CB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325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,6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233CB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184107,0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233CB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71,8</w:t>
                  </w:r>
                </w:p>
              </w:tc>
            </w:tr>
            <w:tr w:rsidR="00E233CB" w:rsidTr="008474F8">
              <w:trPr>
                <w:trHeight w:val="241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233CB" w:rsidRDefault="00E233CB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233CB" w:rsidRDefault="00E233CB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51439,8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233CB" w:rsidRDefault="00E233CB" w:rsidP="00E233C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55998,4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233CB" w:rsidRDefault="00E233CB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45542,1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233CB" w:rsidRDefault="00CC5BB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81,3</w:t>
                  </w:r>
                </w:p>
              </w:tc>
            </w:tr>
            <w:tr w:rsidR="00554DB4" w:rsidTr="008474F8">
              <w:trPr>
                <w:trHeight w:val="733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Налог на доходы физических лиц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17760,0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554DB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17760,0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CC5BB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13155,9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CC5BB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74,1</w:t>
                  </w:r>
                </w:p>
              </w:tc>
            </w:tr>
            <w:tr w:rsidR="00554DB4" w:rsidTr="008474F8">
              <w:trPr>
                <w:trHeight w:val="922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Акцизы по подакцизным товарам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5959,0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5959,0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CC5BB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5647,8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CC5BB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94,8</w:t>
                  </w:r>
                </w:p>
              </w:tc>
            </w:tr>
            <w:tr w:rsidR="00554DB4" w:rsidTr="008474F8">
              <w:trPr>
                <w:trHeight w:val="241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7064,7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8072,8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CC5BB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7096,5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CC5BB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87,9</w:t>
                  </w:r>
                </w:p>
              </w:tc>
            </w:tr>
            <w:tr w:rsidR="00554DB4" w:rsidTr="008474F8">
              <w:trPr>
                <w:trHeight w:val="241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5BBF" w:rsidRPr="00CC5BBF" w:rsidRDefault="00E652E7" w:rsidP="004F05B1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6026,6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6026,6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CC5BB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5303,6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CC5BB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88,0</w:t>
                  </w:r>
                </w:p>
              </w:tc>
            </w:tr>
            <w:tr w:rsidR="00554DB4" w:rsidTr="008474F8">
              <w:trPr>
                <w:trHeight w:val="241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668,7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668,7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4F05B1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454,6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4F05B1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68,0</w:t>
                  </w:r>
                </w:p>
              </w:tc>
            </w:tr>
            <w:tr w:rsidR="00554DB4" w:rsidTr="008474F8">
              <w:trPr>
                <w:trHeight w:val="2149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собственности, в т.ч.: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4732,9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5025,0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4F05B1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3028,0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4F05B1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60,3</w:t>
                  </w:r>
                </w:p>
              </w:tc>
            </w:tr>
            <w:tr w:rsidR="00554DB4" w:rsidTr="008474F8">
              <w:trPr>
                <w:trHeight w:val="241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-проценты, полученные от предоставления бюджетных кредитов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50,0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4F05B1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31,4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4F05B1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62,8</w:t>
                  </w:r>
                </w:p>
              </w:tc>
            </w:tr>
            <w:tr w:rsidR="00554DB4" w:rsidTr="008474F8">
              <w:trPr>
                <w:trHeight w:val="1863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-доходы, получаемые в виде арендной платы муниципального имущества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512,9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077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805,0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964AD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967,1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964AD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120,1</w:t>
                  </w:r>
                </w:p>
              </w:tc>
            </w:tr>
            <w:tr w:rsidR="00554DB4" w:rsidTr="008474F8">
              <w:trPr>
                <w:trHeight w:val="1543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-доходы, получаемые в виде арендной платы за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земельные участки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4170,0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4F05B1" w:rsidP="00964AD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</w:t>
                  </w:r>
                  <w:r w:rsidR="00964AD4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170</w:t>
                  </w:r>
                  <w:r w:rsidR="0010778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964AD4" w:rsidP="0010778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2029,5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964AD4" w:rsidP="00176A9C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48,7</w:t>
                  </w:r>
                  <w:r w:rsidR="004F05B1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        </w:t>
                  </w:r>
                </w:p>
              </w:tc>
            </w:tr>
            <w:tr w:rsidR="00554DB4" w:rsidTr="008474F8">
              <w:trPr>
                <w:trHeight w:val="1189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Платежи за пользование природными ресурсами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408,6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408,6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964AD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277,7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964AD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68,0</w:t>
                  </w:r>
                </w:p>
              </w:tc>
            </w:tr>
            <w:tr w:rsidR="00554DB4" w:rsidTr="008474F8">
              <w:trPr>
                <w:trHeight w:val="846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Доходы от оказания платных услуг 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7970,0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7970,0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964AD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5290,4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55EB5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66,4</w:t>
                  </w:r>
                </w:p>
              </w:tc>
            </w:tr>
            <w:tr w:rsidR="00554DB4" w:rsidTr="008474F8">
              <w:trPr>
                <w:trHeight w:val="1521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 от продажи материальных и нематериальных активов, в том числе: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550,0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3780,2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55EB5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4788,3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76A9C" w:rsidP="00555EB5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12</w:t>
                  </w:r>
                  <w:r w:rsidR="00555EB5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,</w:t>
                  </w:r>
                  <w:r w:rsidR="00555EB5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554DB4" w:rsidTr="008474F8">
              <w:trPr>
                <w:trHeight w:val="884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 от реализации имущества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140.0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895,2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55EB5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907,0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55EB5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101,3</w:t>
                  </w:r>
                </w:p>
              </w:tc>
            </w:tr>
            <w:tr w:rsidR="00554DB4" w:rsidTr="008474F8">
              <w:trPr>
                <w:trHeight w:val="1042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 доходы от продажи земельных участков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410,0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2885,0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55EB5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3881,3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176A9C" w:rsidP="00555EB5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13</w:t>
                  </w:r>
                  <w:r w:rsidR="00555EB5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,</w:t>
                  </w:r>
                  <w:r w:rsidR="00555EB5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54DB4" w:rsidTr="008474F8">
              <w:trPr>
                <w:trHeight w:val="1185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Штрафные санкции, возмещение  ущерба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299,3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176A9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327,5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55EB5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499,1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55EB5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152,4</w:t>
                  </w:r>
                </w:p>
              </w:tc>
            </w:tr>
            <w:tr w:rsidR="00554DB4" w:rsidTr="008474F8">
              <w:trPr>
                <w:trHeight w:val="798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Безвозмездные перечисления, в том числе: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174867,9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AF3187" w:rsidP="00555EB5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200</w:t>
                  </w:r>
                  <w:r w:rsidR="00555EB5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327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,2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55EB5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138564,9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55EB5" w:rsidP="00555EB5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</w:t>
                  </w:r>
                  <w:r w:rsidR="00AF3187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9,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FF615C" w:rsidTr="008474F8">
              <w:trPr>
                <w:trHeight w:val="449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420B59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-дотации 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420B5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51788,9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F615C" w:rsidRDefault="00FF615C" w:rsidP="00420B5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51788,9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420B5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38841,6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420B5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75,0</w:t>
                  </w:r>
                </w:p>
              </w:tc>
            </w:tr>
            <w:tr w:rsidR="00FF615C" w:rsidTr="008474F8">
              <w:trPr>
                <w:trHeight w:val="354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-субсидии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2291,4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F615C" w:rsidRDefault="00FF615C" w:rsidP="00FF615C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27157,7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B97DE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7790,5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28,7</w:t>
                  </w:r>
                </w:p>
              </w:tc>
            </w:tr>
            <w:tr w:rsidR="00FF615C" w:rsidTr="008474F8">
              <w:trPr>
                <w:trHeight w:val="371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-субвенции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117309,9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F615C" w:rsidRDefault="00FF615C" w:rsidP="00B97DE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116776,8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B97DE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88263,6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75,6</w:t>
                  </w:r>
                </w:p>
              </w:tc>
            </w:tr>
            <w:tr w:rsidR="00FF615C" w:rsidTr="008474F8">
              <w:trPr>
                <w:trHeight w:val="406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-иные межбюджетные трансферты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3412,7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F615C" w:rsidRDefault="00FF615C" w:rsidP="00FF615C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3648,3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2553,3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</w:tr>
            <w:tr w:rsidR="00FF615C" w:rsidTr="008474F8">
              <w:trPr>
                <w:trHeight w:val="526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-прочие безвозмездные 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65,0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F615C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127,6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125,5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2B5B0A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98,4</w:t>
                  </w:r>
                </w:p>
              </w:tc>
            </w:tr>
            <w:tr w:rsidR="00FF615C" w:rsidTr="008474F8">
              <w:trPr>
                <w:trHeight w:val="421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-пожертвования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F615C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1227,9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1388,3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113,1</w:t>
                  </w:r>
                </w:p>
              </w:tc>
            </w:tr>
            <w:tr w:rsidR="00FF615C" w:rsidTr="008474F8">
              <w:trPr>
                <w:trHeight w:val="315"/>
              </w:trPr>
              <w:tc>
                <w:tcPr>
                  <w:tcW w:w="2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-возврат остатков, имеющих целевое назначение</w:t>
                  </w:r>
                </w:p>
              </w:tc>
              <w:tc>
                <w:tcPr>
                  <w:tcW w:w="20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F615C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-272,4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Default="00FF615C" w:rsidP="005656D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-272,4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15C" w:rsidRPr="005656D3" w:rsidRDefault="00FF615C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5656D3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</w:tbl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</w:p>
          <w:p w:rsidR="007C4F2D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Исполнение </w:t>
            </w:r>
            <w:r w:rsidR="007C4F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Бюджета </w:t>
            </w:r>
            <w:r w:rsidR="00FF615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 9 месяцев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2016 года </w:t>
            </w:r>
            <w:r w:rsidR="007C4F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71,8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процентов. От плановых назначений более </w:t>
            </w:r>
            <w:r w:rsidR="007C4F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5% составило по </w:t>
            </w:r>
            <w:r w:rsidR="007C4F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пяти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из девяти доходных источников: доходы от уплаты акцизов; налог  на совокупный доход; </w:t>
            </w:r>
            <w:r w:rsidR="007C4F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налог на имущество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; доходы  от реализации муниципального  имущества; </w:t>
            </w:r>
            <w:r w:rsidR="007C4F2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штрафные санкции, возмещение  ущерба.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В целом налоговые и неналоговые доходы поступили    в  объеме </w:t>
            </w:r>
            <w:r w:rsidR="007C4F2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45542,1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при запланированной сумме </w:t>
            </w:r>
            <w:r w:rsidR="007C4F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55998,4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 Исполнение составило </w:t>
            </w:r>
            <w:r w:rsidR="007C4F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81,3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%.</w:t>
            </w:r>
          </w:p>
          <w:p w:rsidR="0067742A" w:rsidRDefault="0067742A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               АНАЛИЗ   РАСХОДНОЙ  ЧАСТИ  БЮДЖЕТА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Бюджет за 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2016 года исполнен по расходам в сумме 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175338,0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плановых назначениях </w:t>
            </w:r>
            <w:r w:rsidR="00BF09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259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949,3</w:t>
            </w:r>
            <w:r w:rsidR="00BF09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на 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67,5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    Кассовое исполнение Бюджета по разделам составило: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«Общегосударственные вопросы»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21265,8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27140,1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или 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8,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оборона»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331,8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442,0 тыс. рублей или 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безопасность и правоохранительная деятельность»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1953,4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2911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,8  тыс. рублей или 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67,1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C5690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экономика»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исполнение при плане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7823,9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составило 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1583,2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</w:t>
            </w:r>
            <w:r w:rsidR="003F54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(20,2%)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 Освоение средств муниципального дорожного фонда, который составляет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95,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 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общей 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суммы </w:t>
            </w:r>
            <w:r w:rsidR="00F118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раздела, </w:t>
            </w:r>
            <w:r w:rsidR="003F543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составило 18,8%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4C3B21" w:rsidRDefault="004C3B21" w:rsidP="00C5690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«Жилищно-коммунальное хозяйство»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6370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1517,8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5965,6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6370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Освоение плановых назначений по подразделу «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ное хозяйство»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составило </w:t>
            </w:r>
            <w:r w:rsidR="006370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572,5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по разделу «коммунальное хозяйство» освоено </w:t>
            </w:r>
            <w:r w:rsidR="006370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945,3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5289,2 тыс. рублей, что составляет </w:t>
            </w:r>
            <w:r w:rsidR="006370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17,9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%. По разделу «благоустройство» освоение 3210,0 тыс. рублей плановых назначений составило 0,0 рублей.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«Образование»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116192,3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162623,1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71,4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процента, в том числе по дошкольному образованию освоение составило 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76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 , по общему образованию 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69,4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по «молодежной политике» освоение равно 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99,9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%; раздел «другие вопросы в области образования» осво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ен на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сумму 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6463,5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83,0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«Культура и кинематография»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16432,0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25119,2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65,4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«Социальная политика»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6136,6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7253,7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84,6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процент. 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«Физическая культура и спорт»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,0 тыс. рублей при плане 137,5 тыс.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рублей или </w:t>
            </w:r>
            <w:r w:rsidR="002B0A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92,4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«Средства массовой информации» - </w:t>
            </w:r>
            <w:r w:rsidR="00CD1E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557,9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уб. при плане </w:t>
            </w:r>
            <w:r w:rsidR="00CD1E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0,0 тыс.руб. или </w:t>
            </w:r>
            <w:r w:rsidR="00CD1E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4C3B21" w:rsidRDefault="006C23F6" w:rsidP="00D20EDD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- </w:t>
            </w:r>
            <w:r w:rsidR="004C3B2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«Обслуживание государственного и муниципального долга»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CD1E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525,3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672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,0 тыс. рублей или  </w:t>
            </w:r>
            <w:r w:rsidR="00CD1E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78,2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</w:t>
            </w:r>
          </w:p>
          <w:p w:rsidR="006C23F6" w:rsidRDefault="006C23F6" w:rsidP="00E521E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Pr="00CD1E3E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межбюджетные трансферты</w:t>
            </w:r>
            <w:r w:rsidR="00E521EE" w:rsidRPr="00CD1E3E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общего характера бюджетам  бюджетной системы РФ 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переданы на сумму </w:t>
            </w:r>
            <w:r w:rsidR="00CD1E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8714,9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188</w:t>
            </w:r>
            <w:r w:rsidR="00CD1E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</w:t>
            </w:r>
            <w:r w:rsidR="00CD1E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CD1E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46,4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%), в том числе дотации бюджетам сельский и городского поселений  </w:t>
            </w:r>
            <w:r w:rsidR="00CD1E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6816,3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CD1E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(75,0%), субсидии 1898,6 тыс. рублей или 19,5%.</w:t>
            </w:r>
          </w:p>
          <w:p w:rsidR="00CA7BB4" w:rsidRDefault="004C3B21" w:rsidP="00094E8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Муниципальный долг за </w:t>
            </w:r>
            <w:r w:rsidR="00197A6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2016 года сократился на </w:t>
            </w:r>
            <w:r w:rsidR="00094E8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4050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,0 тыс. рублей, 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плане погашения кредитов на сумму 5400,0 тыс. рублей</w:t>
            </w:r>
            <w:r w:rsidR="00094E8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что соответствует утвержденным графикам погашения бюджетных кредитов.</w:t>
            </w:r>
          </w:p>
          <w:p w:rsidR="00C47F9A" w:rsidRDefault="00CA7BB4" w:rsidP="0067742A">
            <w:pPr>
              <w:tabs>
                <w:tab w:val="left" w:pos="333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7F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В 2016 году в МО Куркинский район реализ</w:t>
            </w:r>
            <w:r w:rsidR="00564EC1" w:rsidRPr="00C47F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</w:t>
            </w:r>
            <w:r w:rsidRPr="00C47F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ются </w:t>
            </w:r>
          </w:p>
          <w:p w:rsidR="00CA7BB4" w:rsidRPr="00C47F9A" w:rsidRDefault="00CA7BB4" w:rsidP="0067742A">
            <w:pPr>
              <w:tabs>
                <w:tab w:val="left" w:pos="333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7F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 муниципальных программ.</w:t>
            </w:r>
          </w:p>
          <w:tbl>
            <w:tblPr>
              <w:tblpPr w:leftFromText="180" w:rightFromText="180" w:bottomFromText="200" w:vertAnchor="text" w:horzAnchor="margin" w:tblpXSpec="center" w:tblpY="111"/>
              <w:tblW w:w="93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51"/>
              <w:gridCol w:w="3185"/>
              <w:gridCol w:w="1404"/>
              <w:gridCol w:w="1392"/>
              <w:gridCol w:w="1391"/>
              <w:gridCol w:w="1386"/>
            </w:tblGrid>
            <w:tr w:rsidR="00564EC1" w:rsidTr="008474F8">
              <w:trPr>
                <w:trHeight w:val="133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Название программы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План </w:t>
                  </w:r>
                  <w:proofErr w:type="gramStart"/>
                  <w:r w:rsidR="00F466F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на</w:t>
                  </w:r>
                  <w:proofErr w:type="gramEnd"/>
                  <w:r w:rsidR="00F466F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F466FC" w:rsidRDefault="00F466FC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2016г.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6FC" w:rsidRDefault="00F466FC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Уточнен-</w:t>
                  </w:r>
                </w:p>
                <w:p w:rsidR="00564EC1" w:rsidRDefault="00F466FC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ный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план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F466FC" w:rsidP="00197A6A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И</w:t>
                  </w:r>
                  <w:r w:rsidR="00564EC1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сполнение</w:t>
                  </w: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за </w:t>
                  </w:r>
                  <w:r w:rsidR="00197A6A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9 месяцев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% исполнения</w:t>
                  </w:r>
                </w:p>
              </w:tc>
            </w:tr>
            <w:tr w:rsidR="00564EC1" w:rsidTr="008474F8">
              <w:trPr>
                <w:trHeight w:val="656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образования в муниципальном образовании Куркинский район"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53D35" w:rsidP="00CA7BB4">
                  <w:pPr>
                    <w:spacing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150878,8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222544" w:rsidP="00CA7BB4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153923,2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222544" w:rsidP="00CA7BB4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112592,2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222544" w:rsidP="00CA7BB4">
                  <w:pPr>
                    <w:spacing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73,1</w:t>
                  </w:r>
                </w:p>
              </w:tc>
            </w:tr>
            <w:tr w:rsidR="00564EC1" w:rsidTr="008474F8">
              <w:trPr>
                <w:trHeight w:val="133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культуры и туризма в муниципальном образовании Куркинский район"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53D3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23022,4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22254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26076,4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22254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18900,2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22254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72,5</w:t>
                  </w:r>
                </w:p>
              </w:tc>
            </w:tr>
            <w:tr w:rsidR="00564EC1" w:rsidTr="008474F8">
              <w:trPr>
                <w:trHeight w:val="133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физической культуры, спорта и повышение эффективности реализации молодежной политики в муниципальном образовании Куркинский район"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53D3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489,0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222544" w:rsidP="00985B6D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3134,5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22254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2229,0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22254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71,1</w:t>
                  </w:r>
                </w:p>
              </w:tc>
            </w:tr>
            <w:tr w:rsidR="00564EC1" w:rsidTr="008474F8">
              <w:trPr>
                <w:trHeight w:val="133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"Социальная поддержка и социальное обслуживание населения муниципального образования Куркинский район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53D3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3466,8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985B6D" w:rsidP="00CA12BE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2933,</w:t>
                  </w:r>
                  <w:r w:rsidR="00CA12B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22254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2709,6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222544" w:rsidP="00985B6D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92,4</w:t>
                  </w:r>
                </w:p>
              </w:tc>
            </w:tr>
            <w:tr w:rsidR="00564EC1" w:rsidTr="008474F8">
              <w:trPr>
                <w:trHeight w:val="133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"Улучшение демографической ситуации и поддержка семей, воспитывающих детей, в муниципальном образовании Куркинский район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53D3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1448,0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853D3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1448,0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71AB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1448,0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71AB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100</w:t>
                  </w:r>
                  <w:r w:rsidR="00853D35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</w:tr>
            <w:tr w:rsidR="00564EC1" w:rsidTr="008474F8">
              <w:trPr>
                <w:trHeight w:val="133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</w:p>
                <w:p w:rsidR="00564EC1" w:rsidRDefault="00564EC1" w:rsidP="00CA7BB4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Энергоэффективность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муниципального образования Куркинский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район"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    100,0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853D3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564EC1" w:rsidTr="008474F8">
              <w:trPr>
                <w:trHeight w:val="133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853D35" w:rsidP="00853D35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"Модернизация и развитие автомобильных дорог общего пользования в муниципальном образовании Куркинский район"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1F11EE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6010,1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1F11EE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6891,2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814AD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1410,5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814AD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20,5</w:t>
                  </w:r>
                </w:p>
              </w:tc>
            </w:tr>
            <w:tr w:rsidR="00564EC1" w:rsidTr="008474F8">
              <w:trPr>
                <w:trHeight w:val="133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853D35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853D35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малого и среднего предпринимательства в муниципальном образовании Куркинский район"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564EC1" w:rsidTr="008474F8">
              <w:trPr>
                <w:trHeight w:val="133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"Управление муниципальными финансами муниципального образования Куркинский район"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1F11EE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13114,6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1F11EE" w:rsidP="00C71AB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13</w:t>
                  </w:r>
                  <w:r w:rsidR="00C71AB6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023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</w:t>
                  </w:r>
                  <w:r w:rsidR="00C71AB6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71AB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9977,0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71AB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76,6</w:t>
                  </w:r>
                </w:p>
              </w:tc>
            </w:tr>
            <w:tr w:rsidR="00564EC1" w:rsidTr="008474F8">
              <w:trPr>
                <w:trHeight w:val="1965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CA7BB4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"Повышение общественной безопасности населения и развития местного самоуправления муниципального образования Куркинский район"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253,0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253,0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71AB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77,0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71AB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30,4</w:t>
                  </w:r>
                </w:p>
              </w:tc>
            </w:tr>
            <w:tr w:rsidR="00564EC1" w:rsidTr="008474F8">
              <w:trPr>
                <w:trHeight w:val="133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7D147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1892,8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7D147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2182,8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71AB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1458,0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71AB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66,8</w:t>
                  </w:r>
                </w:p>
              </w:tc>
            </w:tr>
            <w:tr w:rsidR="00564EC1" w:rsidTr="008474F8">
              <w:trPr>
                <w:trHeight w:val="133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"Управление муниципальным имуществом и земельными ресурсами муниципального образования Куркинский район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7D147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1759,1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7D147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1899,1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71AB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666,9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71AB6" w:rsidP="007D14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35,1</w:t>
                  </w:r>
                </w:p>
              </w:tc>
            </w:tr>
            <w:tr w:rsidR="00564EC1" w:rsidTr="008474F8">
              <w:trPr>
                <w:trHeight w:val="1301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"Информационная политика в муниципальном образовании Куркинский район"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42</w:t>
                  </w:r>
                  <w:r w:rsidR="00564E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C71AB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60,0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71AB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557,9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C71AB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52,6</w:t>
                  </w:r>
                </w:p>
              </w:tc>
            </w:tr>
            <w:tr w:rsidR="00564EC1" w:rsidTr="008474F8">
              <w:trPr>
                <w:trHeight w:val="1301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контрактной системы в муниципальном образовании Куркинский район"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  <w:r w:rsidR="00564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564EC1" w:rsidTr="008474F8">
              <w:trPr>
                <w:trHeight w:val="1301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left="-108" w:firstLine="95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C71AB6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C71AB6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3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 Развитие архивного дела в муниципальном образовании Куркинский район"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6073A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2,5</w:t>
                  </w:r>
                </w:p>
              </w:tc>
            </w:tr>
            <w:tr w:rsidR="00564EC1" w:rsidTr="008474F8">
              <w:trPr>
                <w:trHeight w:val="362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202924,6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4D6DA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212945,8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4D6DA4" w:rsidP="004D6DA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152026,8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4D6DA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71,4</w:t>
                  </w:r>
                </w:p>
              </w:tc>
            </w:tr>
          </w:tbl>
          <w:p w:rsidR="008474F8" w:rsidRDefault="0036135B" w:rsidP="00855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474F8" w:rsidRDefault="0036135B" w:rsidP="00855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 фоне низкого исполнения программ №№ </w:t>
            </w:r>
            <w:r w:rsidR="008474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,10,1</w:t>
            </w:r>
            <w:r w:rsidR="00847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74F8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15-1</w:t>
            </w:r>
            <w:r w:rsidR="008474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4F8">
              <w:rPr>
                <w:rFonts w:ascii="Times New Roman" w:hAnsi="Times New Roman" w:cs="Times New Roman"/>
                <w:sz w:val="28"/>
                <w:szCs w:val="28"/>
              </w:rPr>
              <w:t xml:space="preserve">(от 0,0% до 52,6%)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  исполнения всех программ отмечена высоким процентом освоения денежных средств.</w:t>
            </w:r>
          </w:p>
          <w:p w:rsidR="008474F8" w:rsidRDefault="008474F8" w:rsidP="0085542C">
            <w:pPr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4C3B21" w:rsidRDefault="004C3B21" w:rsidP="00D20EDD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Выводы и предложения: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1. Отчет об исполнении Бюджета за </w:t>
            </w:r>
            <w:r w:rsidR="00677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2016 года представлен в Собрание представителей и контрольно-ревизионную комиссию  с соблюдением требований Положения о бюджетном процессе муниципального образования Куркинский район.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2. Фактическое исполнение Бюджета в </w:t>
            </w:r>
            <w:r w:rsidR="005944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 месяцев</w:t>
            </w:r>
            <w:r w:rsidR="0036135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2016 года характеризуется высокими показателями.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3. При прогнозируемом </w:t>
            </w:r>
            <w:r w:rsidR="003470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годовом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дефиците  </w:t>
            </w:r>
            <w:r w:rsidR="003470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3623,65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бюджет исполнен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677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8769</w:t>
            </w:r>
            <w:r w:rsidR="003470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677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сложившимся за счёт неиспользованных объемов субсидий и субвенций из бюджета Тульской области, налоговых и неналоговых доходов бюджета МО Куркинский район.</w:t>
            </w:r>
          </w:p>
          <w:p w:rsidR="004C3B21" w:rsidRDefault="0085542C" w:rsidP="0067742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4. Высокая финансовая нагрузка (более </w:t>
            </w:r>
            <w:r w:rsidR="00677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5,48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млн. рублей) по исполнению муниципального дорожного фонда</w:t>
            </w:r>
            <w:r w:rsidR="006370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 исполнению разделов коммунальное хозяйство и благоустройство (более 4,</w:t>
            </w:r>
            <w:r w:rsidR="00677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6370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млн. рублей)</w:t>
            </w:r>
            <w:r w:rsidR="00CD1E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</w:t>
            </w:r>
            <w:r w:rsidR="00094E8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финансированию </w:t>
            </w:r>
            <w:r w:rsidR="006774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субсидий</w:t>
            </w:r>
            <w:r w:rsidR="00CD1E3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(более 7,8 млн. рублей)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приходится на 4 квартал 2016 года, что может привести к дефициту денежных средств на исполнение социально-защищенных статей.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3B21" w:rsidTr="008474F8">
        <w:trPr>
          <w:trHeight w:val="416"/>
        </w:trPr>
        <w:tc>
          <w:tcPr>
            <w:tcW w:w="5000" w:type="pct"/>
            <w:shd w:val="clear" w:color="auto" w:fill="FFFFFF"/>
          </w:tcPr>
          <w:p w:rsidR="004C3B21" w:rsidRDefault="004C3B21" w:rsidP="00D20EDD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  <w:tr w:rsidR="008474F8" w:rsidTr="008474F8">
        <w:trPr>
          <w:trHeight w:val="405"/>
        </w:trPr>
        <w:tc>
          <w:tcPr>
            <w:tcW w:w="5000" w:type="pct"/>
            <w:shd w:val="clear" w:color="auto" w:fill="FFFFFF"/>
          </w:tcPr>
          <w:p w:rsidR="008474F8" w:rsidRDefault="008474F8" w:rsidP="00D20EDD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4C3B21" w:rsidRDefault="004C3B21" w:rsidP="00D20E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7742A">
        <w:rPr>
          <w:rFonts w:ascii="Times New Roman" w:hAnsi="Times New Roman" w:cs="Times New Roman"/>
          <w:b/>
          <w:sz w:val="28"/>
          <w:szCs w:val="28"/>
        </w:rPr>
        <w:t>КРК</w:t>
      </w:r>
    </w:p>
    <w:p w:rsidR="004C3B21" w:rsidRDefault="004C3B21" w:rsidP="00D20E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Куркинский район                                                                   Е.В.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4C3B21" w:rsidRDefault="004C3B21" w:rsidP="00D20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79C" w:rsidRDefault="0010579C" w:rsidP="00D20EDD">
      <w:pPr>
        <w:spacing w:line="240" w:lineRule="auto"/>
      </w:pPr>
    </w:p>
    <w:sectPr w:rsidR="0010579C" w:rsidSect="0010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B21"/>
    <w:rsid w:val="00033FA2"/>
    <w:rsid w:val="00045CA2"/>
    <w:rsid w:val="00091683"/>
    <w:rsid w:val="00094E8F"/>
    <w:rsid w:val="0010579C"/>
    <w:rsid w:val="00107787"/>
    <w:rsid w:val="00176A9C"/>
    <w:rsid w:val="00197A6A"/>
    <w:rsid w:val="001F11EE"/>
    <w:rsid w:val="00222544"/>
    <w:rsid w:val="002276F8"/>
    <w:rsid w:val="002B0AF8"/>
    <w:rsid w:val="002B5B0A"/>
    <w:rsid w:val="003470D7"/>
    <w:rsid w:val="0036135B"/>
    <w:rsid w:val="003F5437"/>
    <w:rsid w:val="004C3B21"/>
    <w:rsid w:val="004D6DA4"/>
    <w:rsid w:val="004F05B1"/>
    <w:rsid w:val="00554DB4"/>
    <w:rsid w:val="00555EB5"/>
    <w:rsid w:val="00564EC1"/>
    <w:rsid w:val="005656D3"/>
    <w:rsid w:val="0059447F"/>
    <w:rsid w:val="005A7CAE"/>
    <w:rsid w:val="005B5C35"/>
    <w:rsid w:val="005C7B7E"/>
    <w:rsid w:val="005E2365"/>
    <w:rsid w:val="006073AF"/>
    <w:rsid w:val="0063706B"/>
    <w:rsid w:val="0067742A"/>
    <w:rsid w:val="006814AD"/>
    <w:rsid w:val="006C23F6"/>
    <w:rsid w:val="00703E90"/>
    <w:rsid w:val="00734C74"/>
    <w:rsid w:val="007546B1"/>
    <w:rsid w:val="007C4F2D"/>
    <w:rsid w:val="007D147F"/>
    <w:rsid w:val="00816BD6"/>
    <w:rsid w:val="008474F8"/>
    <w:rsid w:val="00853D35"/>
    <w:rsid w:val="0085542C"/>
    <w:rsid w:val="0087707B"/>
    <w:rsid w:val="00897B73"/>
    <w:rsid w:val="00964AD4"/>
    <w:rsid w:val="00985B6D"/>
    <w:rsid w:val="009B1A3B"/>
    <w:rsid w:val="009F4FF6"/>
    <w:rsid w:val="00A96162"/>
    <w:rsid w:val="00AF3187"/>
    <w:rsid w:val="00B97DED"/>
    <w:rsid w:val="00BA7CD5"/>
    <w:rsid w:val="00BF0983"/>
    <w:rsid w:val="00C4457E"/>
    <w:rsid w:val="00C47F9A"/>
    <w:rsid w:val="00C56905"/>
    <w:rsid w:val="00C71AB6"/>
    <w:rsid w:val="00CA12BE"/>
    <w:rsid w:val="00CA7BB4"/>
    <w:rsid w:val="00CC5BBF"/>
    <w:rsid w:val="00CD1E3E"/>
    <w:rsid w:val="00CE7972"/>
    <w:rsid w:val="00D20EDD"/>
    <w:rsid w:val="00DE7E29"/>
    <w:rsid w:val="00DF2244"/>
    <w:rsid w:val="00E233CB"/>
    <w:rsid w:val="00E521EE"/>
    <w:rsid w:val="00E652E7"/>
    <w:rsid w:val="00F1189B"/>
    <w:rsid w:val="00F466FC"/>
    <w:rsid w:val="00FF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10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2016-08-04T06:22:00Z</dcterms:created>
  <dcterms:modified xsi:type="dcterms:W3CDTF">2016-10-27T08:34:00Z</dcterms:modified>
</cp:coreProperties>
</file>