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12" w:rsidRDefault="00C76512" w:rsidP="00C76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A89" w:rsidRDefault="00C76512" w:rsidP="00C76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89">
        <w:rPr>
          <w:rFonts w:ascii="Times New Roman" w:hAnsi="Times New Roman" w:cs="Times New Roman"/>
          <w:b/>
          <w:sz w:val="48"/>
          <w:szCs w:val="4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512" w:rsidRDefault="009E3A89" w:rsidP="00C76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ревизионной комиссии муниципального образования Куркинский район </w:t>
      </w:r>
      <w:r w:rsidR="00C7651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C76512" w:rsidRDefault="00C76512" w:rsidP="00C76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6512" w:rsidRDefault="00C76512" w:rsidP="00C76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A3015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76512" w:rsidRDefault="00C76512" w:rsidP="00C76512">
      <w:pPr>
        <w:rPr>
          <w:rFonts w:ascii="Times New Roman" w:hAnsi="Times New Roman" w:cs="Times New Roman"/>
          <w:sz w:val="28"/>
          <w:szCs w:val="28"/>
        </w:rPr>
      </w:pPr>
    </w:p>
    <w:p w:rsidR="00C76512" w:rsidRDefault="009E3A89" w:rsidP="00C7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765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6512">
        <w:rPr>
          <w:rFonts w:ascii="Times New Roman" w:hAnsi="Times New Roman" w:cs="Times New Roman"/>
          <w:sz w:val="28"/>
          <w:szCs w:val="28"/>
        </w:rPr>
        <w:t>.201</w:t>
      </w:r>
      <w:r w:rsidR="006A3015">
        <w:rPr>
          <w:rFonts w:ascii="Times New Roman" w:hAnsi="Times New Roman" w:cs="Times New Roman"/>
          <w:sz w:val="28"/>
          <w:szCs w:val="28"/>
        </w:rPr>
        <w:t>6</w:t>
      </w:r>
      <w:r w:rsidR="00C7651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р.п</w:t>
      </w:r>
      <w:proofErr w:type="gramStart"/>
      <w:r w:rsidR="00C765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76512">
        <w:rPr>
          <w:rFonts w:ascii="Times New Roman" w:hAnsi="Times New Roman" w:cs="Times New Roman"/>
          <w:sz w:val="28"/>
          <w:szCs w:val="28"/>
        </w:rPr>
        <w:t>уркино</w:t>
      </w:r>
    </w:p>
    <w:p w:rsidR="00C76512" w:rsidRDefault="00C76512" w:rsidP="00C76512">
      <w:pPr>
        <w:rPr>
          <w:rFonts w:ascii="Times New Roman" w:hAnsi="Times New Roman" w:cs="Times New Roman"/>
          <w:sz w:val="28"/>
          <w:szCs w:val="28"/>
        </w:rPr>
      </w:pPr>
    </w:p>
    <w:p w:rsidR="006A3015" w:rsidRPr="002E3AF0" w:rsidRDefault="00C76512" w:rsidP="006A30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2015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2016 год,  на основании  распоряжения Контрольно-ревизионной комиссии муниципального образования  Куркинский район от 22.02.2016г №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7-р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отчётность  муниципального образования.</w:t>
      </w:r>
    </w:p>
    <w:p w:rsidR="00C76512" w:rsidRDefault="00C76512" w:rsidP="006A3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proofErr w:type="gramEnd"/>
    </w:p>
    <w:p w:rsidR="009E3A89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за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</w:t>
      </w:r>
      <w:r w:rsidR="006A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п.2 ст.264.4 БК РФ и  Положения о бюджетном процессе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 отчет об исполнении бюджета  представлен в Контрольно-</w:t>
      </w:r>
      <w:r w:rsidR="00317012">
        <w:rPr>
          <w:rFonts w:ascii="Times New Roman" w:hAnsi="Times New Roman" w:cs="Times New Roman"/>
          <w:sz w:val="28"/>
          <w:szCs w:val="28"/>
        </w:rPr>
        <w:t>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Куркинский район главой администрации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 Положения о бюджетном процессе в муниципальном образовании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исполнения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возложена на финансовое </w:t>
      </w:r>
      <w:r w:rsidR="006A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администрации муниципального образования </w:t>
      </w:r>
      <w:r w:rsidR="00317012">
        <w:rPr>
          <w:rFonts w:ascii="Times New Roman" w:hAnsi="Times New Roman" w:cs="Times New Roman"/>
          <w:sz w:val="28"/>
          <w:szCs w:val="28"/>
        </w:rPr>
        <w:t xml:space="preserve">Михайловское </w:t>
      </w:r>
      <w:proofErr w:type="spellStart"/>
      <w:r w:rsidR="0031701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317012">
        <w:rPr>
          <w:rFonts w:ascii="Times New Roman" w:hAnsi="Times New Roman" w:cs="Times New Roman"/>
          <w:sz w:val="28"/>
          <w:szCs w:val="28"/>
        </w:rPr>
        <w:t xml:space="preserve"> района, что не соответствует действующей структуре.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Контрольно-ревизионной комиссии муниципального образования Куркинский район  показала, что при исполнении 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</w:t>
      </w:r>
      <w:r w:rsidR="009E3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регионального законодательства, нормативных актов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утвержденное Положение о бюджетном процессе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требуется внесение изменений с учетом действующих редакции Бюджетного Кодекса, структуры администрации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C76512" w:rsidRDefault="00C76512" w:rsidP="00C7651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C76512" w:rsidRDefault="00C76512" w:rsidP="00C7651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C76512" w:rsidRDefault="00C76512" w:rsidP="00C7651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C76512" w:rsidRDefault="00C76512" w:rsidP="00C7651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C76512" w:rsidRDefault="00C76512" w:rsidP="00C7651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C76512" w:rsidRDefault="00C76512" w:rsidP="00C76512">
      <w:pPr>
        <w:pStyle w:val="a9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Проведенной проверкой бюджетной отчетности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представлены администрацией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в полном объеме.</w:t>
      </w:r>
    </w:p>
    <w:p w:rsidR="00C76512" w:rsidRDefault="00C76512" w:rsidP="00C765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материалах по исполнению бюджета в контрольно-ревизионную комиссию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76512" w:rsidRDefault="00C76512" w:rsidP="00C765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512" w:rsidRDefault="00C76512" w:rsidP="00C7651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C76512" w:rsidRDefault="00C76512" w:rsidP="00C7651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C76512" w:rsidRDefault="00C76512" w:rsidP="00C7651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C76512" w:rsidRDefault="009E3A89" w:rsidP="009E3A89">
      <w:pPr>
        <w:pStyle w:val="a9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E3A89" w:rsidRPr="009E3A89" w:rsidRDefault="009E3A89" w:rsidP="009E3A89">
      <w:pPr>
        <w:pStyle w:val="a9"/>
        <w:tabs>
          <w:tab w:val="left" w:pos="709"/>
        </w:tabs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857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1252"/>
        <w:gridCol w:w="1264"/>
        <w:gridCol w:w="1461"/>
        <w:gridCol w:w="1091"/>
        <w:gridCol w:w="1091"/>
        <w:gridCol w:w="1461"/>
      </w:tblGrid>
      <w:tr w:rsidR="00C76512" w:rsidTr="00C7651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</w:t>
            </w:r>
          </w:p>
        </w:tc>
      </w:tr>
      <w:tr w:rsidR="00C76512" w:rsidTr="00C7651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31.12.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31.12.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«+», «-» (человек)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«+», «-» (тыс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</w:tr>
      <w:tr w:rsidR="00C76512" w:rsidTr="00C7651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85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85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85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85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85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+2362,5</w:t>
            </w:r>
          </w:p>
        </w:tc>
      </w:tr>
    </w:tbl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671" w:rsidRDefault="00C76512" w:rsidP="00E42671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5743C">
        <w:rPr>
          <w:rFonts w:ascii="Times New Roman" w:hAnsi="Times New Roman" w:cs="Times New Roman"/>
          <w:sz w:val="28"/>
          <w:szCs w:val="28"/>
        </w:rPr>
        <w:t>не изменилась</w:t>
      </w:r>
      <w:r>
        <w:rPr>
          <w:rFonts w:ascii="Times New Roman" w:hAnsi="Times New Roman" w:cs="Times New Roman"/>
          <w:sz w:val="28"/>
          <w:szCs w:val="28"/>
        </w:rPr>
        <w:t xml:space="preserve">, фактические затраты на денежное содержание  </w:t>
      </w:r>
      <w:r w:rsidR="0085743C">
        <w:rPr>
          <w:rFonts w:ascii="Times New Roman" w:hAnsi="Times New Roman" w:cs="Times New Roman"/>
          <w:sz w:val="28"/>
          <w:szCs w:val="28"/>
        </w:rPr>
        <w:t>увеличились на 2362,5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71" w:rsidRDefault="00E42671" w:rsidP="00E42671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 w:rsidRPr="00E42671">
        <w:rPr>
          <w:rFonts w:ascii="Times New Roman" w:hAnsi="Times New Roman" w:cs="Times New Roman"/>
          <w:sz w:val="28"/>
          <w:szCs w:val="28"/>
        </w:rPr>
        <w:t xml:space="preserve">нормативом на содержание органов местного самоуправления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 w:rsidRPr="00E4267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E426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правительства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Тульской области</w:t>
      </w:r>
      <w:r w:rsidRPr="00E426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21 марта 2012 года N 116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671">
        <w:rPr>
          <w:rFonts w:ascii="Times New Roman" w:hAnsi="Times New Roman" w:cs="Times New Roman"/>
          <w:sz w:val="28"/>
          <w:szCs w:val="28"/>
        </w:rPr>
        <w:t xml:space="preserve">б утверждении нормативов формирования расходов на оплату труда депутатов, выборных должностных лиц местного самоуправления, </w:t>
      </w:r>
      <w:r w:rsidR="009E3A89">
        <w:rPr>
          <w:rFonts w:ascii="Times New Roman" w:hAnsi="Times New Roman" w:cs="Times New Roman"/>
          <w:sz w:val="28"/>
          <w:szCs w:val="28"/>
        </w:rPr>
        <w:t xml:space="preserve">   </w:t>
      </w:r>
      <w:r w:rsidRPr="00E42671">
        <w:rPr>
          <w:rFonts w:ascii="Times New Roman" w:hAnsi="Times New Roman" w:cs="Times New Roman"/>
          <w:sz w:val="28"/>
          <w:szCs w:val="28"/>
        </w:rPr>
        <w:t>осуществляющих свои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 w:rsidRPr="00E42671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муниципальных служащих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 w:rsidRPr="00E42671">
        <w:rPr>
          <w:rFonts w:ascii="Times New Roman" w:hAnsi="Times New Roman" w:cs="Times New Roman"/>
          <w:sz w:val="28"/>
          <w:szCs w:val="28"/>
        </w:rPr>
        <w:t>и содержание органов местного самоуправления тульской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 предельный </w:t>
      </w:r>
      <w:r w:rsidR="009E3A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размер должен составлять не более 4344,3 тыс. рублей.</w:t>
      </w:r>
      <w:proofErr w:type="gramEnd"/>
    </w:p>
    <w:p w:rsidR="00C76512" w:rsidRDefault="00E42671" w:rsidP="00E42671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Кассовые расходы превышают расчетный норматив на 452,2 тыс. рублей.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Михайловское</w:t>
      </w:r>
      <w:r w:rsidR="00AD6C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AD6C80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 утвержден решением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6C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AD6C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D6C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AD6C8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годов»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доходам в сумме  </w:t>
      </w:r>
      <w:r w:rsidR="00AD6C80">
        <w:rPr>
          <w:rFonts w:ascii="Times New Roman" w:hAnsi="Times New Roman" w:cs="Times New Roman"/>
          <w:sz w:val="28"/>
          <w:szCs w:val="28"/>
        </w:rPr>
        <w:t>10057,3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AD6C80">
        <w:rPr>
          <w:rFonts w:ascii="Times New Roman" w:hAnsi="Times New Roman" w:cs="Times New Roman"/>
          <w:sz w:val="28"/>
          <w:szCs w:val="28"/>
        </w:rPr>
        <w:t>10057,3</w:t>
      </w:r>
      <w:r>
        <w:rPr>
          <w:rFonts w:ascii="Times New Roman" w:hAnsi="Times New Roman" w:cs="Times New Roman"/>
          <w:sz w:val="28"/>
          <w:szCs w:val="28"/>
        </w:rPr>
        <w:t xml:space="preserve">  тыс. руб., без дефицита. </w:t>
      </w:r>
      <w:proofErr w:type="gramEnd"/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решением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6C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6C8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г №2</w:t>
      </w:r>
      <w:r w:rsidR="00AD6C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6C80">
        <w:rPr>
          <w:rFonts w:ascii="Times New Roman" w:hAnsi="Times New Roman" w:cs="Times New Roman"/>
          <w:sz w:val="28"/>
          <w:szCs w:val="28"/>
        </w:rPr>
        <w:t>1 и решением от 25.12.2015г. №33-2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6C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AD6C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C1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8C1E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  <w:r w:rsidR="008C1E78"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результате, уточненные плановые назначения на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8C1E78">
        <w:rPr>
          <w:rFonts w:ascii="Times New Roman" w:hAnsi="Times New Roman" w:cs="Times New Roman"/>
          <w:sz w:val="28"/>
          <w:szCs w:val="28"/>
        </w:rPr>
        <w:t>12951,4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8C1E78">
        <w:rPr>
          <w:rFonts w:ascii="Times New Roman" w:hAnsi="Times New Roman" w:cs="Times New Roman"/>
          <w:sz w:val="28"/>
          <w:szCs w:val="28"/>
        </w:rPr>
        <w:t>12951,4</w:t>
      </w:r>
      <w:r>
        <w:rPr>
          <w:rFonts w:ascii="Times New Roman" w:hAnsi="Times New Roman" w:cs="Times New Roman"/>
          <w:sz w:val="28"/>
          <w:szCs w:val="28"/>
        </w:rPr>
        <w:t xml:space="preserve"> тыс. руб., бюджет МО Михайловское на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  утвержден </w:t>
      </w:r>
      <w:r w:rsidR="008C1E78">
        <w:rPr>
          <w:rFonts w:ascii="Times New Roman" w:hAnsi="Times New Roman" w:cs="Times New Roman"/>
          <w:sz w:val="28"/>
          <w:szCs w:val="28"/>
        </w:rPr>
        <w:t>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сложились в сумме </w:t>
      </w:r>
      <w:r w:rsidR="008C1E78">
        <w:rPr>
          <w:rFonts w:ascii="Times New Roman" w:hAnsi="Times New Roman" w:cs="Times New Roman"/>
          <w:sz w:val="28"/>
          <w:szCs w:val="28"/>
        </w:rPr>
        <w:t>12192,5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8C1E78">
        <w:rPr>
          <w:rFonts w:ascii="Times New Roman" w:hAnsi="Times New Roman" w:cs="Times New Roman"/>
          <w:sz w:val="28"/>
          <w:szCs w:val="28"/>
        </w:rPr>
        <w:t>94,1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8C1E78">
        <w:rPr>
          <w:rFonts w:ascii="Times New Roman" w:hAnsi="Times New Roman" w:cs="Times New Roman"/>
          <w:sz w:val="28"/>
          <w:szCs w:val="28"/>
        </w:rPr>
        <w:t>12074,5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8C1E78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>% уточненного плана).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года представлено в таблице.                                                                    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a"/>
        <w:tblW w:w="0" w:type="auto"/>
        <w:tblLook w:val="04A0"/>
      </w:tblPr>
      <w:tblGrid>
        <w:gridCol w:w="2802"/>
        <w:gridCol w:w="1559"/>
        <w:gridCol w:w="1559"/>
        <w:gridCol w:w="1843"/>
        <w:gridCol w:w="1808"/>
      </w:tblGrid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6A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18002,</w:t>
            </w:r>
            <w:r w:rsidR="002719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 w:rsidP="002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-5810,0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-4077,9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1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-2589,5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1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76512" w:rsidTr="00C76512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1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76512" w:rsidTr="00C7651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-1732,1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1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E3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87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71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-7223,7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1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62,6</w:t>
            </w:r>
          </w:p>
        </w:tc>
      </w:tr>
    </w:tbl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Михайловское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уменьшилась на </w:t>
      </w:r>
      <w:r w:rsidR="00E14AC8">
        <w:rPr>
          <w:rFonts w:ascii="Times New Roman" w:hAnsi="Times New Roman" w:cs="Times New Roman"/>
          <w:sz w:val="28"/>
          <w:szCs w:val="28"/>
        </w:rPr>
        <w:t xml:space="preserve">5810,0 </w:t>
      </w:r>
      <w:r>
        <w:rPr>
          <w:rFonts w:ascii="Times New Roman" w:hAnsi="Times New Roman" w:cs="Times New Roman"/>
          <w:sz w:val="28"/>
          <w:szCs w:val="28"/>
        </w:rPr>
        <w:t xml:space="preserve">тыс. руб. (или  на </w:t>
      </w:r>
      <w:r w:rsidR="00E14AC8">
        <w:rPr>
          <w:rFonts w:ascii="Times New Roman" w:hAnsi="Times New Roman" w:cs="Times New Roman"/>
          <w:sz w:val="28"/>
          <w:szCs w:val="28"/>
        </w:rPr>
        <w:t>32,3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6512" w:rsidRDefault="00C76512" w:rsidP="00C76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Структура доходной части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76512" w:rsidRDefault="00C76512" w:rsidP="00C765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842"/>
        <w:gridCol w:w="1415"/>
        <w:gridCol w:w="704"/>
        <w:gridCol w:w="1627"/>
        <w:gridCol w:w="787"/>
        <w:gridCol w:w="1135"/>
        <w:gridCol w:w="707"/>
        <w:gridCol w:w="1274"/>
        <w:gridCol w:w="709"/>
      </w:tblGrid>
      <w:tr w:rsidR="00C76512" w:rsidTr="00E14A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C76512" w:rsidRDefault="006A3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="00C76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тыс. руб.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14AC8" w:rsidTr="00E14A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4688,6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4580,8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E14AC8" w:rsidTr="00E14AC8">
        <w:trPr>
          <w:trHeight w:val="7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9243,7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E14AC8" w:rsidTr="00E14A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A543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дотации  бюджетам поселений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2912,3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E14AC8" w:rsidTr="00E14AC8">
        <w:trPr>
          <w:trHeight w:val="11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дотации бюджетам поселений на поощрение деятельности ОМС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8" w:rsidRDefault="00E1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AC8" w:rsidTr="00E14AC8">
        <w:trPr>
          <w:trHeight w:val="5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Пожертвования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r>
              <w:t xml:space="preserve">       1062,0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r>
              <w:t>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E14AC8" w:rsidTr="00E14A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субвенции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5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4AC8" w:rsidTr="00E14A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 w:rsidP="0061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0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E14AC8" w:rsidTr="00E14AC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18002,6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E14AC8" w:rsidP="008C2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11119,3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615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0A1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0A1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8" w:rsidRDefault="00A64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76512" w:rsidRDefault="00C76512" w:rsidP="00C76512">
      <w:pPr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8758,8 тыс. руб. (48,7%), безвозмездные поступления составляют 9243,7 тыс. руб. (51,3%). Размер безвозмездных поступлений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уменьшился по сравнению с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на 3511,8 тыс. руб.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Налоговые доходы </w:t>
      </w:r>
      <w:r>
        <w:rPr>
          <w:rFonts w:ascii="Times New Roman" w:hAnsi="Times New Roman" w:cs="Times New Roman"/>
          <w:sz w:val="28"/>
          <w:szCs w:val="28"/>
        </w:rPr>
        <w:t>поступили в размере 7193,1 тыс. руб. (82,1 % собственных доходов). Поступления налоговых доходов увеличилось к уровню прошлого года на 1938,5 тыс. руб.</w:t>
      </w:r>
    </w:p>
    <w:p w:rsidR="00C76512" w:rsidRDefault="00C76512" w:rsidP="001F2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налоговым доходам исполнены на  96,4 %,  в том числе по видам налогов и сборов:</w:t>
      </w:r>
      <w:r w:rsidR="001F2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a"/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1559"/>
        <w:gridCol w:w="1560"/>
        <w:gridCol w:w="1417"/>
        <w:gridCol w:w="1418"/>
        <w:gridCol w:w="850"/>
      </w:tblGrid>
      <w:tr w:rsidR="00C76512" w:rsidTr="001F2C24">
        <w:trPr>
          <w:trHeight w:val="1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6A3015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исполнения </w:t>
            </w:r>
            <w:r w:rsidR="006A3015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к </w:t>
            </w:r>
            <w:r w:rsidR="006A3015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исполнения бюджета </w:t>
            </w:r>
            <w:r w:rsidR="006A3015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F2C24" w:rsidTr="001F2C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1F2C24" w:rsidTr="001F2C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совокупный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1F2C24" w:rsidTr="001F2C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F2C24" w:rsidTr="001F2C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1F2C24" w:rsidTr="001F2C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 w:rsidP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F2C24" w:rsidTr="001F2C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 w:rsidP="008C2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7193.1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8C2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C31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24" w:rsidRDefault="001F2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76512" w:rsidRDefault="00C76512" w:rsidP="00C76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C31432">
        <w:rPr>
          <w:rFonts w:ascii="Times New Roman" w:hAnsi="Times New Roman" w:cs="Times New Roman"/>
          <w:sz w:val="28"/>
          <w:szCs w:val="28"/>
        </w:rPr>
        <w:t>3773,7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628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2,</w:t>
      </w:r>
      <w:r w:rsidR="00D62845">
        <w:rPr>
          <w:rFonts w:ascii="Times New Roman" w:hAnsi="Times New Roman" w:cs="Times New Roman"/>
          <w:sz w:val="28"/>
          <w:szCs w:val="28"/>
        </w:rPr>
        <w:t>0</w:t>
      </w:r>
      <w:r w:rsidR="00A91B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A91B63">
        <w:rPr>
          <w:rFonts w:ascii="Times New Roman" w:hAnsi="Times New Roman" w:cs="Times New Roman"/>
          <w:sz w:val="28"/>
          <w:szCs w:val="28"/>
        </w:rPr>
        <w:t>77,3</w:t>
      </w:r>
      <w:r>
        <w:rPr>
          <w:rFonts w:ascii="Times New Roman" w:hAnsi="Times New Roman" w:cs="Times New Roman"/>
          <w:sz w:val="28"/>
          <w:szCs w:val="28"/>
        </w:rPr>
        <w:t xml:space="preserve"> тыс. руб. и исполнены на </w:t>
      </w:r>
      <w:r w:rsidR="00A91B63">
        <w:rPr>
          <w:rFonts w:ascii="Times New Roman" w:hAnsi="Times New Roman" w:cs="Times New Roman"/>
          <w:sz w:val="28"/>
          <w:szCs w:val="28"/>
        </w:rPr>
        <w:t>106,6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Годовой план уточнен в сторону </w:t>
      </w:r>
      <w:r w:rsidR="00A91B63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A91B63">
        <w:rPr>
          <w:rFonts w:ascii="Times New Roman" w:hAnsi="Times New Roman" w:cs="Times New Roman"/>
          <w:sz w:val="28"/>
          <w:szCs w:val="28"/>
        </w:rPr>
        <w:t>185,0</w:t>
      </w:r>
      <w:r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A91B63">
        <w:rPr>
          <w:rFonts w:ascii="Times New Roman" w:hAnsi="Times New Roman" w:cs="Times New Roman"/>
          <w:sz w:val="28"/>
          <w:szCs w:val="28"/>
        </w:rPr>
        <w:t>72,5</w:t>
      </w:r>
      <w:r>
        <w:rPr>
          <w:rFonts w:ascii="Times New Roman" w:hAnsi="Times New Roman" w:cs="Times New Roman"/>
          <w:sz w:val="28"/>
          <w:szCs w:val="28"/>
        </w:rPr>
        <w:t xml:space="preserve"> тыс. руб., т.е. на </w:t>
      </w:r>
      <w:r w:rsidR="00A91B63">
        <w:rPr>
          <w:rFonts w:ascii="Times New Roman" w:hAnsi="Times New Roman" w:cs="Times New Roman"/>
          <w:sz w:val="28"/>
          <w:szCs w:val="28"/>
        </w:rPr>
        <w:t>72,5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91B63" w:rsidRDefault="00C76512" w:rsidP="00A91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использования имущества, находящегося в государственной и муниципальной собственности </w:t>
      </w:r>
      <w:r w:rsidR="00A91B63">
        <w:rPr>
          <w:rFonts w:ascii="Times New Roman" w:hAnsi="Times New Roman" w:cs="Times New Roman"/>
          <w:b/>
          <w:sz w:val="28"/>
          <w:szCs w:val="28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>на 4</w:t>
      </w:r>
      <w:r w:rsidR="00A91B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руб.;</w:t>
      </w:r>
    </w:p>
    <w:p w:rsidR="00A91B63" w:rsidRDefault="00A91B63" w:rsidP="00A91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продажи материальных и нематериальных активов </w:t>
      </w:r>
      <w:r w:rsidRPr="00A91B63">
        <w:rPr>
          <w:rFonts w:ascii="Times New Roman" w:hAnsi="Times New Roman" w:cs="Times New Roman"/>
          <w:b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на 160,0 тыс. рублей;</w:t>
      </w:r>
    </w:p>
    <w:p w:rsidR="00C76512" w:rsidRDefault="00C76512" w:rsidP="00A91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оказания платных услуг (работ) </w:t>
      </w:r>
      <w:r>
        <w:rPr>
          <w:rFonts w:ascii="Times New Roman" w:hAnsi="Times New Roman" w:cs="Times New Roman"/>
          <w:b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1B63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-штрафы, санкции, возмещение ущерба </w:t>
      </w:r>
      <w:r w:rsidRPr="00A91B63">
        <w:rPr>
          <w:rFonts w:ascii="Times New Roman" w:hAnsi="Times New Roman" w:cs="Times New Roman"/>
          <w:b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1B63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 в общей сумме сложилась следующим образом:</w:t>
      </w: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a"/>
        <w:tblW w:w="9831" w:type="dxa"/>
        <w:tblInd w:w="-318" w:type="dxa"/>
        <w:tblLook w:val="04A0"/>
      </w:tblPr>
      <w:tblGrid>
        <w:gridCol w:w="2468"/>
        <w:gridCol w:w="1312"/>
        <w:gridCol w:w="1380"/>
        <w:gridCol w:w="1312"/>
        <w:gridCol w:w="1291"/>
        <w:gridCol w:w="1291"/>
        <w:gridCol w:w="777"/>
      </w:tblGrid>
      <w:tr w:rsidR="00C76512" w:rsidTr="00C76512">
        <w:trPr>
          <w:trHeight w:val="1313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Уточненный план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бюджета </w:t>
            </w:r>
            <w:r w:rsidR="006A301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65650" w:rsidTr="00C76512">
        <w:trPr>
          <w:trHeight w:val="145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 w:rsidP="005B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AB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F65650" w:rsidTr="00C76512">
        <w:trPr>
          <w:trHeight w:val="163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 w:rsidP="005B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AB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F65650" w:rsidTr="00C76512">
        <w:trPr>
          <w:trHeight w:val="72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Штрафные санкции, возмещение ущерба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 w:rsidP="005B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F65650" w:rsidTr="00C76512">
        <w:trPr>
          <w:trHeight w:val="52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земли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 w:rsidP="005B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650" w:rsidTr="00C76512">
        <w:trPr>
          <w:trHeight w:val="32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 w:rsidP="005B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65650" w:rsidTr="00C76512">
        <w:trPr>
          <w:trHeight w:val="64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 w:rsidP="005B6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1565,7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F6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50" w:rsidRDefault="00165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203143">
        <w:rPr>
          <w:rFonts w:ascii="Times New Roman" w:hAnsi="Times New Roman" w:cs="Times New Roman"/>
          <w:sz w:val="28"/>
          <w:szCs w:val="28"/>
        </w:rPr>
        <w:t>доход от сдачи в</w:t>
      </w:r>
      <w:r w:rsidR="00165C50" w:rsidRPr="00203143">
        <w:rPr>
          <w:rFonts w:ascii="Times New Roman" w:hAnsi="Times New Roman" w:cs="Times New Roman"/>
          <w:sz w:val="28"/>
          <w:szCs w:val="28"/>
        </w:rPr>
        <w:t xml:space="preserve"> </w:t>
      </w:r>
      <w:r w:rsidRPr="00203143">
        <w:rPr>
          <w:rFonts w:ascii="Times New Roman" w:hAnsi="Times New Roman" w:cs="Times New Roman"/>
          <w:sz w:val="28"/>
          <w:szCs w:val="28"/>
        </w:rPr>
        <w:t>аренду земельных участков (5</w:t>
      </w:r>
      <w:r w:rsidR="00165C50" w:rsidRPr="00203143">
        <w:rPr>
          <w:rFonts w:ascii="Times New Roman" w:hAnsi="Times New Roman" w:cs="Times New Roman"/>
          <w:sz w:val="28"/>
          <w:szCs w:val="28"/>
        </w:rPr>
        <w:t>4</w:t>
      </w:r>
      <w:r w:rsidRPr="00203143">
        <w:rPr>
          <w:rFonts w:ascii="Times New Roman" w:hAnsi="Times New Roman" w:cs="Times New Roman"/>
          <w:sz w:val="28"/>
          <w:szCs w:val="28"/>
        </w:rPr>
        <w:t>,5 %).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в  бюджет данный доход  поступил в сумме </w:t>
      </w:r>
      <w:r w:rsidR="00165C50">
        <w:rPr>
          <w:rFonts w:ascii="Times New Roman" w:hAnsi="Times New Roman" w:cs="Times New Roman"/>
          <w:sz w:val="28"/>
          <w:szCs w:val="28"/>
        </w:rPr>
        <w:t>821,3</w:t>
      </w:r>
      <w:r>
        <w:rPr>
          <w:rFonts w:ascii="Times New Roman" w:hAnsi="Times New Roman" w:cs="Times New Roman"/>
          <w:sz w:val="28"/>
          <w:szCs w:val="28"/>
        </w:rPr>
        <w:t xml:space="preserve"> тыс. руб.  Плановые показатели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65C5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 тыс. руб., исполнение составило</w:t>
      </w:r>
      <w:r w:rsidR="00165C50">
        <w:rPr>
          <w:rFonts w:ascii="Times New Roman" w:hAnsi="Times New Roman" w:cs="Times New Roman"/>
          <w:sz w:val="28"/>
          <w:szCs w:val="28"/>
        </w:rPr>
        <w:t xml:space="preserve"> 105,3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 или </w:t>
      </w:r>
      <w:r w:rsidR="00165C50">
        <w:rPr>
          <w:rFonts w:ascii="Times New Roman" w:hAnsi="Times New Roman" w:cs="Times New Roman"/>
          <w:sz w:val="28"/>
          <w:szCs w:val="28"/>
        </w:rPr>
        <w:t>42,1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65C50">
        <w:rPr>
          <w:rFonts w:ascii="Times New Roman" w:hAnsi="Times New Roman" w:cs="Times New Roman"/>
          <w:sz w:val="28"/>
          <w:szCs w:val="28"/>
        </w:rPr>
        <w:t xml:space="preserve"> Резкое снижение данного дохода связано с изменением действующего законодательства.</w:t>
      </w:r>
    </w:p>
    <w:p w:rsidR="00C76512" w:rsidRDefault="00165C50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6512" w:rsidRPr="00165C50">
        <w:rPr>
          <w:rFonts w:ascii="Times New Roman" w:hAnsi="Times New Roman" w:cs="Times New Roman"/>
          <w:sz w:val="28"/>
          <w:szCs w:val="28"/>
        </w:rPr>
        <w:t>оходы от продажи земельных  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2015 году не поступали</w:t>
      </w:r>
      <w:r w:rsidR="00C76512" w:rsidRPr="00165C50">
        <w:rPr>
          <w:rFonts w:ascii="Times New Roman" w:hAnsi="Times New Roman" w:cs="Times New Roman"/>
          <w:sz w:val="28"/>
          <w:szCs w:val="28"/>
        </w:rPr>
        <w:t>. Плановые назначения по данному источнику в течение года</w:t>
      </w:r>
      <w:r w:rsidR="00C76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уточнены со </w:t>
      </w:r>
      <w:r w:rsidR="00C76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160,0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при утверждении бюджета, до 0,0 тыс. руб.</w:t>
      </w:r>
      <w:r w:rsidR="00C76512">
        <w:rPr>
          <w:rFonts w:ascii="Times New Roman" w:hAnsi="Times New Roman" w:cs="Times New Roman"/>
          <w:sz w:val="28"/>
          <w:szCs w:val="28"/>
        </w:rPr>
        <w:t xml:space="preserve">  уточненного плана. По сравнению с предшествующим годом по данному источнику уменьшение на </w:t>
      </w:r>
      <w:r w:rsidR="00203143">
        <w:rPr>
          <w:rFonts w:ascii="Times New Roman" w:hAnsi="Times New Roman" w:cs="Times New Roman"/>
          <w:sz w:val="28"/>
          <w:szCs w:val="28"/>
        </w:rPr>
        <w:t>650,0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C97FAB">
        <w:rPr>
          <w:rFonts w:ascii="Times New Roman" w:hAnsi="Times New Roman" w:cs="Times New Roman"/>
          <w:sz w:val="28"/>
          <w:szCs w:val="28"/>
        </w:rPr>
        <w:t>1732,1</w:t>
      </w:r>
      <w:r>
        <w:rPr>
          <w:rFonts w:ascii="Times New Roman" w:hAnsi="Times New Roman" w:cs="Times New Roman"/>
          <w:sz w:val="28"/>
          <w:szCs w:val="28"/>
        </w:rPr>
        <w:t xml:space="preserve"> тыс. руб. к уровню прошлого года и составили </w:t>
      </w:r>
      <w:r w:rsidR="00C97FAB">
        <w:rPr>
          <w:rFonts w:ascii="Times New Roman" w:hAnsi="Times New Roman" w:cs="Times New Roman"/>
          <w:sz w:val="28"/>
          <w:szCs w:val="28"/>
        </w:rPr>
        <w:t>7511,6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видам: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655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tbl>
      <w:tblPr>
        <w:tblStyle w:val="aa"/>
        <w:tblW w:w="9885" w:type="dxa"/>
        <w:tblLayout w:type="fixed"/>
        <w:tblLook w:val="04A0"/>
      </w:tblPr>
      <w:tblGrid>
        <w:gridCol w:w="1838"/>
        <w:gridCol w:w="1530"/>
        <w:gridCol w:w="1612"/>
        <w:gridCol w:w="1530"/>
        <w:gridCol w:w="1108"/>
        <w:gridCol w:w="1275"/>
        <w:gridCol w:w="992"/>
      </w:tblGrid>
      <w:tr w:rsidR="00C76512" w:rsidTr="00203143">
        <w:trPr>
          <w:trHeight w:val="12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Уточненный план </w:t>
            </w:r>
            <w:r w:rsidR="006A30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исполнения</w:t>
            </w:r>
          </w:p>
          <w:p w:rsidR="00C76512" w:rsidRDefault="006A3015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 w:rsidR="00C765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исполнения</w:t>
            </w:r>
          </w:p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бюджета </w:t>
            </w:r>
            <w:r w:rsidR="006A30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Уд.</w:t>
            </w:r>
          </w:p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вес</w:t>
            </w:r>
          </w:p>
          <w:p w:rsidR="00C76512" w:rsidRDefault="00C7651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203143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 w:rsidP="005B657A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3325,3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3990,5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3990,5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4A7997" w:rsidP="00C97FAB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</w:t>
            </w:r>
            <w:r w:rsidR="00C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3143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 w:rsidP="005B657A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182,2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182,2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4A7997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203143" w:rsidTr="00203143">
        <w:trPr>
          <w:trHeight w:val="9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 w:rsidP="005B657A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5627,4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4197,9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 w:rsidP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3338,9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 w:rsidP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4A7997" w:rsidP="00C97FAB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</w:t>
            </w:r>
            <w:r w:rsidR="00C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03143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203143" w:rsidP="005B657A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9243,7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8370,6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7511,6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5368D4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43" w:rsidRDefault="004A7997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100.0</w:t>
            </w:r>
          </w:p>
        </w:tc>
      </w:tr>
    </w:tbl>
    <w:p w:rsidR="00C76512" w:rsidRDefault="00C76512" w:rsidP="00C76512">
      <w:pPr>
        <w:tabs>
          <w:tab w:val="left" w:pos="655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FAB" w:rsidRPr="00C97FAB" w:rsidRDefault="00C97FAB" w:rsidP="00C97FAB">
      <w:pPr>
        <w:tabs>
          <w:tab w:val="left" w:pos="655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Прочие  межбюджетные  трансферты  не поступили в бюджет МО Михайловское в полном объеме  по причине окончания финансового года.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76512" w:rsidRDefault="00C76512" w:rsidP="00C76512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C76512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Муниципальный долг.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Исполнение программы внутренних муниципальных заимствований.</w:t>
      </w:r>
    </w:p>
    <w:p w:rsidR="00C76512" w:rsidRDefault="00C76512" w:rsidP="00C76512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</w:t>
      </w:r>
      <w:r w:rsidR="00C97FA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="00C97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7012">
        <w:rPr>
          <w:rFonts w:ascii="Times New Roman" w:hAnsi="Times New Roman" w:cs="Times New Roman"/>
          <w:sz w:val="28"/>
          <w:szCs w:val="28"/>
        </w:rPr>
        <w:t>равен нулю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Кредиты из вышестоящих бюджетов РФ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Муниципальные закупки</w:t>
      </w:r>
      <w:r w:rsidR="00914E9A">
        <w:rPr>
          <w:rFonts w:ascii="Times New Roman" w:hAnsi="Times New Roman" w:cs="Times New Roman"/>
          <w:b/>
          <w:sz w:val="28"/>
          <w:szCs w:val="28"/>
        </w:rPr>
        <w:t>.</w:t>
      </w:r>
    </w:p>
    <w:p w:rsidR="00C76512" w:rsidRDefault="00C76512" w:rsidP="00C765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заключались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 с единственным поставщиком в сумме до 100,0 тыс.</w:t>
      </w:r>
      <w:r w:rsidR="005B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каждая, количество муниципальных закупок</w:t>
      </w:r>
      <w:r w:rsidR="00EB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1831">
        <w:rPr>
          <w:rFonts w:ascii="Times New Roman" w:hAnsi="Times New Roman" w:cs="Times New Roman"/>
          <w:sz w:val="28"/>
          <w:szCs w:val="28"/>
        </w:rPr>
        <w:t xml:space="preserve"> 39, на общую сумму 1858,5 тыс. рублей.</w:t>
      </w:r>
    </w:p>
    <w:p w:rsidR="00C76512" w:rsidRDefault="00C76512" w:rsidP="005B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проведено </w:t>
      </w:r>
      <w:r w:rsidR="005B657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аукциона  на заключение муниципальных контрактов </w:t>
      </w:r>
      <w:r w:rsidR="00EB1831">
        <w:rPr>
          <w:rFonts w:ascii="Times New Roman" w:hAnsi="Times New Roman" w:cs="Times New Roman"/>
          <w:sz w:val="28"/>
          <w:szCs w:val="28"/>
        </w:rPr>
        <w:t xml:space="preserve">по программе «Народный бюджет» </w:t>
      </w:r>
      <w:r>
        <w:rPr>
          <w:rFonts w:ascii="Times New Roman" w:hAnsi="Times New Roman" w:cs="Times New Roman"/>
          <w:sz w:val="28"/>
          <w:szCs w:val="28"/>
        </w:rPr>
        <w:t xml:space="preserve">общей суммой </w:t>
      </w:r>
      <w:r w:rsidR="005B657A">
        <w:rPr>
          <w:rFonts w:ascii="Times New Roman" w:hAnsi="Times New Roman" w:cs="Times New Roman"/>
          <w:sz w:val="28"/>
          <w:szCs w:val="28"/>
        </w:rPr>
        <w:t>2079,3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57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14E9A" w:rsidRPr="00914E9A" w:rsidRDefault="00EB1831" w:rsidP="00914E9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Четыре контракта заключено в соответствии с</w:t>
      </w:r>
      <w:r w:rsidR="00914E9A">
        <w:rPr>
          <w:sz w:val="28"/>
          <w:szCs w:val="28"/>
        </w:rPr>
        <w:t xml:space="preserve"> пунктом </w:t>
      </w:r>
      <w:r w:rsidR="00914E9A" w:rsidRPr="00914E9A">
        <w:rPr>
          <w:color w:val="000000" w:themeColor="text1"/>
          <w:sz w:val="28"/>
          <w:szCs w:val="28"/>
        </w:rPr>
        <w:t>1</w:t>
      </w:r>
      <w:r w:rsidRPr="00914E9A">
        <w:rPr>
          <w:color w:val="000000" w:themeColor="text1"/>
          <w:sz w:val="28"/>
          <w:szCs w:val="28"/>
        </w:rPr>
        <w:t xml:space="preserve"> </w:t>
      </w:r>
      <w:r w:rsidR="00914E9A">
        <w:rPr>
          <w:color w:val="000000" w:themeColor="text1"/>
          <w:sz w:val="28"/>
          <w:szCs w:val="28"/>
        </w:rPr>
        <w:t>(</w:t>
      </w:r>
      <w:r w:rsidR="00914E9A" w:rsidRPr="00914E9A">
        <w:rPr>
          <w:color w:val="000000" w:themeColor="text1"/>
          <w:spacing w:val="2"/>
          <w:sz w:val="28"/>
          <w:szCs w:val="28"/>
          <w:shd w:val="clear" w:color="auto" w:fill="FFFFFF"/>
        </w:rPr>
        <w:t>осуществление закупки товара, работы или услуги, которые относятся к сфере деятельности субъектов естественных монополий</w:t>
      </w:r>
      <w:r w:rsidR="00914E9A">
        <w:rPr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="00914E9A" w:rsidRPr="00914E9A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914E9A">
        <w:rPr>
          <w:color w:val="000000" w:themeColor="text1"/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914E9A">
        <w:rPr>
          <w:sz w:val="28"/>
          <w:szCs w:val="28"/>
        </w:rPr>
        <w:t xml:space="preserve">и 93 </w:t>
      </w:r>
      <w:r w:rsidR="00914E9A" w:rsidRPr="00914E9A">
        <w:rPr>
          <w:color w:val="000000" w:themeColor="text1"/>
          <w:spacing w:val="2"/>
          <w:sz w:val="28"/>
          <w:szCs w:val="28"/>
        </w:rPr>
        <w:t xml:space="preserve">федерального закона </w:t>
      </w:r>
      <w:r w:rsidR="00914E9A">
        <w:rPr>
          <w:color w:val="000000" w:themeColor="text1"/>
          <w:spacing w:val="2"/>
          <w:sz w:val="28"/>
          <w:szCs w:val="28"/>
        </w:rPr>
        <w:t>«</w:t>
      </w:r>
      <w:r w:rsidR="00914E9A" w:rsidRPr="00914E9A">
        <w:rPr>
          <w:color w:val="000000" w:themeColor="text1"/>
          <w:spacing w:val="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14E9A">
        <w:rPr>
          <w:color w:val="000000" w:themeColor="text1"/>
          <w:spacing w:val="2"/>
          <w:sz w:val="28"/>
          <w:szCs w:val="28"/>
        </w:rPr>
        <w:t>».</w:t>
      </w:r>
    </w:p>
    <w:p w:rsidR="00EB1831" w:rsidRDefault="00EB1831" w:rsidP="005B6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бюджета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осуществлялось через казначейскую систему.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C76512" w:rsidTr="00C7651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6A301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6A301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76512" w:rsidTr="00C7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657A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 w:rsidP="005B657A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 w:rsidP="005B657A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2C41D0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2C41D0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B657A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 w:rsidP="005B657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 w:rsidP="005B657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2C41D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2C41D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5B657A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 w:rsidP="005B657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5B657A" w:rsidP="005B657A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2C41D0" w:rsidP="002C41D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7A" w:rsidRDefault="002C41D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</w:tbl>
    <w:p w:rsidR="00C76512" w:rsidRDefault="00C76512" w:rsidP="00C76512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уменьшились на </w:t>
      </w:r>
      <w:r w:rsidR="002C41D0">
        <w:rPr>
          <w:rFonts w:ascii="Times New Roman" w:hAnsi="Times New Roman" w:cs="Times New Roman"/>
          <w:sz w:val="28"/>
          <w:szCs w:val="28"/>
        </w:rPr>
        <w:t>5467,4</w:t>
      </w:r>
      <w:r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2C41D0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%) по сравнению с прошлым годом,  расходы за счет безвозмездных поступлений из бюджетов других уровней уменьшились на </w:t>
      </w:r>
      <w:r w:rsidR="002C41D0">
        <w:rPr>
          <w:rFonts w:ascii="Times New Roman" w:hAnsi="Times New Roman" w:cs="Times New Roman"/>
          <w:sz w:val="28"/>
          <w:szCs w:val="28"/>
        </w:rPr>
        <w:t>1756,3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C41D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%). В целом расходы бюджета муниципального образования уменьшились на </w:t>
      </w:r>
      <w:r w:rsidR="002C41D0">
        <w:rPr>
          <w:rFonts w:ascii="Times New Roman" w:hAnsi="Times New Roman" w:cs="Times New Roman"/>
          <w:sz w:val="28"/>
          <w:szCs w:val="28"/>
        </w:rPr>
        <w:t>7223,7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2C41D0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FD2F53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FD2F53">
        <w:rPr>
          <w:rFonts w:ascii="Times New Roman" w:hAnsi="Times New Roman" w:cs="Times New Roman"/>
          <w:sz w:val="28"/>
          <w:szCs w:val="28"/>
        </w:rPr>
        <w:t>12074,5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</w:t>
      </w:r>
    </w:p>
    <w:p w:rsidR="00C76512" w:rsidRDefault="00C76512" w:rsidP="00C76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тыс.</w:t>
      </w:r>
      <w:r w:rsidR="0031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a"/>
        <w:tblW w:w="9645" w:type="dxa"/>
        <w:tblInd w:w="108" w:type="dxa"/>
        <w:tblLayout w:type="fixed"/>
        <w:tblLook w:val="04A0"/>
      </w:tblPr>
      <w:tblGrid>
        <w:gridCol w:w="1985"/>
        <w:gridCol w:w="708"/>
        <w:gridCol w:w="2130"/>
        <w:gridCol w:w="1985"/>
        <w:gridCol w:w="1561"/>
        <w:gridCol w:w="1276"/>
      </w:tblGrid>
      <w:tr w:rsidR="00C76512" w:rsidTr="00ED69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          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C76512" w:rsidTr="00ED698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тыс. руб.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12" w:rsidTr="00ED6982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="00ED6982">
              <w:rPr>
                <w:rFonts w:ascii="Times New Roman" w:hAnsi="Times New Roman" w:cs="Times New Roman"/>
                <w:sz w:val="24"/>
                <w:szCs w:val="24"/>
              </w:rPr>
              <w:t>и начисления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ED6982" w:rsidRDefault="00E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D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22A74" w:rsidP="00F4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4674,</w:t>
            </w:r>
            <w:r w:rsidR="00F44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22A74" w:rsidP="00F4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F4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2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F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F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F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 w:rsidP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86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4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4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D4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12074,5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8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</w:tbl>
    <w:p w:rsidR="00C76512" w:rsidRDefault="00C76512" w:rsidP="00C76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D418B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,8%)  в расходах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составляют расходы на </w:t>
      </w:r>
      <w:r w:rsidR="00D418B5">
        <w:rPr>
          <w:rFonts w:ascii="Times New Roman" w:hAnsi="Times New Roman" w:cs="Times New Roman"/>
          <w:sz w:val="28"/>
          <w:szCs w:val="28"/>
        </w:rPr>
        <w:t>оплату труда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. Второй показатель на оплату </w:t>
      </w:r>
      <w:r w:rsidR="000D1650">
        <w:rPr>
          <w:rFonts w:ascii="Times New Roman" w:hAnsi="Times New Roman" w:cs="Times New Roman"/>
          <w:sz w:val="28"/>
          <w:szCs w:val="28"/>
        </w:rPr>
        <w:t>р</w:t>
      </w:r>
      <w:r w:rsidR="000D1650" w:rsidRPr="000D1650">
        <w:rPr>
          <w:rFonts w:ascii="Times New Roman" w:hAnsi="Times New Roman" w:cs="Times New Roman"/>
          <w:sz w:val="28"/>
          <w:szCs w:val="28"/>
        </w:rPr>
        <w:t>абот</w:t>
      </w:r>
      <w:r w:rsidR="000D1650">
        <w:rPr>
          <w:rFonts w:ascii="Times New Roman" w:hAnsi="Times New Roman" w:cs="Times New Roman"/>
          <w:sz w:val="28"/>
          <w:szCs w:val="28"/>
        </w:rPr>
        <w:t xml:space="preserve"> и </w:t>
      </w:r>
      <w:r w:rsidR="000D1650" w:rsidRPr="000D1650">
        <w:rPr>
          <w:rFonts w:ascii="Times New Roman" w:hAnsi="Times New Roman" w:cs="Times New Roman"/>
          <w:sz w:val="28"/>
          <w:szCs w:val="28"/>
        </w:rPr>
        <w:t xml:space="preserve"> услуг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данный показатель составил  </w:t>
      </w:r>
      <w:r w:rsidR="000D1650">
        <w:rPr>
          <w:rFonts w:ascii="Times New Roman" w:hAnsi="Times New Roman" w:cs="Times New Roman"/>
          <w:sz w:val="28"/>
          <w:szCs w:val="28"/>
        </w:rPr>
        <w:t>3814,9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D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руб.(</w:t>
      </w:r>
      <w:r w:rsidR="000D1650">
        <w:rPr>
          <w:rFonts w:ascii="Times New Roman" w:hAnsi="Times New Roman" w:cs="Times New Roman"/>
          <w:sz w:val="28"/>
          <w:szCs w:val="28"/>
        </w:rPr>
        <w:t>31,6</w:t>
      </w:r>
      <w:r>
        <w:rPr>
          <w:rFonts w:ascii="Times New Roman" w:hAnsi="Times New Roman" w:cs="Times New Roman"/>
          <w:sz w:val="28"/>
          <w:szCs w:val="28"/>
        </w:rPr>
        <w:t xml:space="preserve">%), а также расходы по </w:t>
      </w:r>
      <w:r w:rsidR="000D1650">
        <w:rPr>
          <w:rFonts w:ascii="Times New Roman" w:hAnsi="Times New Roman" w:cs="Times New Roman"/>
          <w:sz w:val="28"/>
          <w:szCs w:val="28"/>
        </w:rPr>
        <w:t>оплате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0D1650">
        <w:rPr>
          <w:rFonts w:ascii="Times New Roman" w:hAnsi="Times New Roman" w:cs="Times New Roman"/>
          <w:sz w:val="28"/>
          <w:szCs w:val="28"/>
        </w:rPr>
        <w:t>1223,1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D1650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0D1650" w:rsidRDefault="000D1650" w:rsidP="00C76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0D1650" w:rsidP="000D16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6512" w:rsidRDefault="00C76512" w:rsidP="00C7651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тыс.</w:t>
      </w:r>
      <w:r w:rsidR="000D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a"/>
        <w:tblW w:w="9148" w:type="dxa"/>
        <w:tblInd w:w="-176" w:type="dxa"/>
        <w:tblLook w:val="04A0"/>
      </w:tblPr>
      <w:tblGrid>
        <w:gridCol w:w="2553"/>
        <w:gridCol w:w="971"/>
        <w:gridCol w:w="1183"/>
        <w:gridCol w:w="1613"/>
        <w:gridCol w:w="1157"/>
        <w:gridCol w:w="1671"/>
      </w:tblGrid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 w:rsidP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+493,4</w:t>
            </w:r>
          </w:p>
        </w:tc>
      </w:tr>
      <w:tr w:rsidR="00C76512" w:rsidTr="00C76512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+25,8</w:t>
            </w:r>
          </w:p>
        </w:tc>
      </w:tr>
      <w:tr w:rsidR="00C76512" w:rsidTr="000D1650">
        <w:trPr>
          <w:trHeight w:val="53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-662,9</w:t>
            </w:r>
          </w:p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</w:tr>
      <w:tr w:rsidR="00C76512" w:rsidTr="00C76512">
        <w:trPr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 w:rsidP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+1340,6</w:t>
            </w:r>
          </w:p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+434,0</w:t>
            </w:r>
          </w:p>
        </w:tc>
      </w:tr>
      <w:tr w:rsidR="00C76512" w:rsidTr="00C76512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  <w:r w:rsidR="00C765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 w:rsidP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+170,4</w:t>
            </w:r>
          </w:p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C765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070A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+30,8</w:t>
            </w:r>
          </w:p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/>
        </w:tc>
      </w:tr>
      <w:tr w:rsidR="00C76512" w:rsidTr="00C7651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11119,3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D165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+1832,1</w:t>
            </w:r>
          </w:p>
        </w:tc>
      </w:tr>
    </w:tbl>
    <w:p w:rsidR="00C76512" w:rsidRDefault="00C76512" w:rsidP="00C76512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по разделам расходов в общей сумме расходов и размер отклонений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p w:rsidR="00C76512" w:rsidRDefault="00C76512" w:rsidP="00C76512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40" w:type="dxa"/>
        <w:tblInd w:w="-176" w:type="dxa"/>
        <w:tblLayout w:type="fixed"/>
        <w:tblLook w:val="04A0"/>
      </w:tblPr>
      <w:tblGrid>
        <w:gridCol w:w="2270"/>
        <w:gridCol w:w="991"/>
        <w:gridCol w:w="1418"/>
        <w:gridCol w:w="992"/>
        <w:gridCol w:w="1417"/>
        <w:gridCol w:w="1134"/>
        <w:gridCol w:w="1418"/>
      </w:tblGrid>
      <w:tr w:rsidR="00C76512" w:rsidTr="00EE3314">
        <w:trPr>
          <w:trHeight w:val="1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1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«+», «-»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C76512" w:rsidRDefault="006A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E3314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-1264,0</w:t>
            </w:r>
          </w:p>
        </w:tc>
      </w:tr>
      <w:tr w:rsidR="00EE3314" w:rsidTr="00EE3314">
        <w:trPr>
          <w:trHeight w:val="5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+6,6</w:t>
            </w:r>
          </w:p>
        </w:tc>
      </w:tr>
      <w:tr w:rsidR="00EE3314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-1153,5</w:t>
            </w:r>
          </w:p>
        </w:tc>
      </w:tr>
      <w:tr w:rsidR="00EE3314" w:rsidTr="00EE3314">
        <w:trPr>
          <w:trHeight w:val="8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-3464,6</w:t>
            </w:r>
          </w:p>
        </w:tc>
      </w:tr>
      <w:tr w:rsidR="00014AD8" w:rsidTr="00014AD8">
        <w:trPr>
          <w:trHeight w:val="56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014AD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014AD8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014AD8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D8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+604,0</w:t>
            </w:r>
          </w:p>
        </w:tc>
      </w:tr>
      <w:tr w:rsidR="00EE3314" w:rsidTr="00EE3314">
        <w:trPr>
          <w:trHeight w:val="5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-1998,0</w:t>
            </w:r>
          </w:p>
        </w:tc>
      </w:tr>
      <w:tr w:rsidR="00EE3314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+45,8</w:t>
            </w:r>
          </w:p>
        </w:tc>
      </w:tr>
      <w:tr w:rsidR="00EE3314" w:rsidTr="00EE3314">
        <w:trPr>
          <w:trHeight w:val="28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 w:rsidP="009E3A8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014A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EE331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4" w:rsidRDefault="00DB699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-7223,7</w:t>
            </w:r>
          </w:p>
        </w:tc>
      </w:tr>
    </w:tbl>
    <w:p w:rsidR="00C76512" w:rsidRDefault="00C76512" w:rsidP="00C76512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уменьшилась на </w:t>
      </w:r>
      <w:r w:rsidR="00DB699B">
        <w:rPr>
          <w:rFonts w:ascii="Times New Roman" w:hAnsi="Times New Roman" w:cs="Times New Roman"/>
          <w:sz w:val="28"/>
          <w:szCs w:val="28"/>
        </w:rPr>
        <w:t>7223,7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6512" w:rsidRDefault="00C76512" w:rsidP="00C765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C76512" w:rsidRDefault="00C76512" w:rsidP="00C7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99B">
        <w:rPr>
          <w:rFonts w:ascii="Times New Roman" w:hAnsi="Times New Roman" w:cs="Times New Roman"/>
          <w:sz w:val="28"/>
          <w:szCs w:val="28"/>
        </w:rPr>
        <w:t>«Охрана окружающей среды»,</w:t>
      </w:r>
    </w:p>
    <w:p w:rsidR="00C76512" w:rsidRDefault="00C76512" w:rsidP="00C7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-«Социальная политика»,</w:t>
      </w:r>
    </w:p>
    <w:p w:rsidR="00C76512" w:rsidRDefault="00C76512" w:rsidP="00C7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оборона».</w:t>
      </w:r>
    </w:p>
    <w:p w:rsidR="00C76512" w:rsidRDefault="00C76512" w:rsidP="00C7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C76512" w:rsidRDefault="00C76512" w:rsidP="00C7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экономика»,</w:t>
      </w:r>
    </w:p>
    <w:p w:rsidR="00C76512" w:rsidRDefault="00C76512" w:rsidP="00C7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кинематография»,</w:t>
      </w:r>
    </w:p>
    <w:p w:rsidR="00DB699B" w:rsidRDefault="00DB699B" w:rsidP="00C7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</w:t>
      </w:r>
    </w:p>
    <w:p w:rsidR="00C76512" w:rsidRDefault="00DB699B" w:rsidP="002F3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-«Жилищно-коммунальное хозяйство»</w:t>
      </w:r>
      <w:r w:rsidR="00C76512"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C76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C76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284FCB" w:rsidRDefault="00C76512" w:rsidP="00C765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284FCB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284FCB">
        <w:rPr>
          <w:rFonts w:ascii="Times New Roman" w:hAnsi="Times New Roman" w:cs="Times New Roman"/>
          <w:sz w:val="28"/>
          <w:szCs w:val="28"/>
        </w:rPr>
        <w:t>4796</w:t>
      </w:r>
      <w:r>
        <w:rPr>
          <w:rFonts w:ascii="Times New Roman" w:hAnsi="Times New Roman" w:cs="Times New Roman"/>
          <w:sz w:val="28"/>
          <w:szCs w:val="28"/>
        </w:rPr>
        <w:t>,5 тыс. руб. или</w:t>
      </w:r>
      <w:r w:rsidR="00284FCB">
        <w:rPr>
          <w:rFonts w:ascii="Times New Roman" w:hAnsi="Times New Roman" w:cs="Times New Roman"/>
          <w:sz w:val="28"/>
          <w:szCs w:val="28"/>
        </w:rPr>
        <w:t xml:space="preserve">   99,7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84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уточненных</w:t>
      </w:r>
      <w:r w:rsidR="00284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284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назначений:</w:t>
      </w:r>
    </w:p>
    <w:tbl>
      <w:tblPr>
        <w:tblStyle w:val="aa"/>
        <w:tblW w:w="8925" w:type="dxa"/>
        <w:tblInd w:w="-34" w:type="dxa"/>
        <w:tblLayout w:type="fixed"/>
        <w:tblLook w:val="04A0"/>
      </w:tblPr>
      <w:tblGrid>
        <w:gridCol w:w="1841"/>
        <w:gridCol w:w="709"/>
        <w:gridCol w:w="1558"/>
        <w:gridCol w:w="1559"/>
        <w:gridCol w:w="1700"/>
        <w:gridCol w:w="1558"/>
      </w:tblGrid>
      <w:tr w:rsidR="00C76512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 w:rsidP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</w:t>
            </w:r>
            <w:r w:rsidR="0074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31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7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135C0A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DB699B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9B" w:rsidRDefault="00DB699B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B699B" w:rsidP="009E3A8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74374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9B" w:rsidRDefault="00D4449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6512" w:rsidRDefault="00C76512" w:rsidP="00C76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C76512" w:rsidRDefault="00C76512" w:rsidP="00135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135C0A">
        <w:rPr>
          <w:rFonts w:ascii="Times New Roman" w:hAnsi="Times New Roman" w:cs="Times New Roman"/>
          <w:sz w:val="28"/>
          <w:szCs w:val="28"/>
        </w:rPr>
        <w:t>2601,3</w:t>
      </w:r>
      <w:r>
        <w:rPr>
          <w:rFonts w:ascii="Times New Roman" w:hAnsi="Times New Roman" w:cs="Times New Roman"/>
          <w:sz w:val="28"/>
          <w:szCs w:val="28"/>
        </w:rPr>
        <w:t xml:space="preserve"> тыс. руб.(5</w:t>
      </w:r>
      <w:r w:rsidR="00135C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,2%);</w:t>
      </w:r>
    </w:p>
    <w:p w:rsidR="00135C0A" w:rsidRDefault="00135C0A" w:rsidP="00135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коммунальные услуги– 1127,6 тыс. руб.(23,5</w:t>
      </w:r>
      <w:r w:rsidR="00284FCB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76512" w:rsidRDefault="00C76512" w:rsidP="0013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0A">
        <w:rPr>
          <w:rFonts w:ascii="Times New Roman" w:hAnsi="Times New Roman" w:cs="Times New Roman"/>
          <w:sz w:val="28"/>
          <w:szCs w:val="28"/>
        </w:rPr>
        <w:t xml:space="preserve">увеличение стоимости </w:t>
      </w:r>
      <w:proofErr w:type="gramStart"/>
      <w:r w:rsidR="00135C0A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 w:rsidR="00135C0A">
        <w:rPr>
          <w:rFonts w:ascii="Times New Roman" w:hAnsi="Times New Roman" w:cs="Times New Roman"/>
          <w:sz w:val="28"/>
          <w:szCs w:val="28"/>
        </w:rPr>
        <w:t xml:space="preserve"> запасов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5C0A">
        <w:rPr>
          <w:rFonts w:ascii="Times New Roman" w:hAnsi="Times New Roman" w:cs="Times New Roman"/>
          <w:sz w:val="28"/>
          <w:szCs w:val="28"/>
        </w:rPr>
        <w:t>420,4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135C0A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4FCB">
        <w:rPr>
          <w:rFonts w:ascii="Times New Roman" w:hAnsi="Times New Roman" w:cs="Times New Roman"/>
          <w:sz w:val="28"/>
          <w:szCs w:val="28"/>
        </w:rPr>
        <w:t>;</w:t>
      </w:r>
    </w:p>
    <w:p w:rsidR="00135C0A" w:rsidRDefault="00135C0A" w:rsidP="0013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–160,3 тыс. руб.(3,3%)</w:t>
      </w:r>
      <w:r w:rsidR="00284FCB">
        <w:rPr>
          <w:rFonts w:ascii="Times New Roman" w:hAnsi="Times New Roman" w:cs="Times New Roman"/>
          <w:sz w:val="28"/>
          <w:szCs w:val="28"/>
        </w:rPr>
        <w:t>.</w:t>
      </w:r>
    </w:p>
    <w:p w:rsidR="00135C0A" w:rsidRDefault="00135C0A" w:rsidP="00C7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в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уменьшились на </w:t>
      </w:r>
      <w:r w:rsidR="00284FCB">
        <w:rPr>
          <w:rFonts w:ascii="Times New Roman" w:hAnsi="Times New Roman" w:cs="Times New Roman"/>
          <w:sz w:val="28"/>
          <w:szCs w:val="28"/>
        </w:rPr>
        <w:t>736,8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284F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,1</w:t>
      </w:r>
      <w:r w:rsidR="00284FCB">
        <w:rPr>
          <w:rFonts w:ascii="Times New Roman" w:hAnsi="Times New Roman" w:cs="Times New Roman"/>
          <w:sz w:val="28"/>
          <w:szCs w:val="28"/>
        </w:rPr>
        <w:t>%.</w:t>
      </w:r>
    </w:p>
    <w:p w:rsidR="00EB4D83" w:rsidRDefault="00EB4D83" w:rsidP="00C7651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утвержденного норматива </w:t>
      </w:r>
      <w:r w:rsidR="002F3106">
        <w:rPr>
          <w:rFonts w:ascii="Times New Roman" w:hAnsi="Times New Roman" w:cs="Times New Roman"/>
          <w:sz w:val="28"/>
          <w:szCs w:val="28"/>
        </w:rPr>
        <w:t xml:space="preserve">(52,4%)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расходов на содержание органов местного самоуправления приложением №8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 w:rsidR="002F310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правительства Тульской области от 21.03.2012г. №116</w:t>
      </w:r>
      <w:r w:rsidR="002F31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МО Михайловское превышение составило 2,9%</w:t>
      </w:r>
      <w:r w:rsidR="002F3106">
        <w:rPr>
          <w:rFonts w:ascii="Times New Roman" w:hAnsi="Times New Roman" w:cs="Times New Roman"/>
          <w:sz w:val="28"/>
          <w:szCs w:val="28"/>
        </w:rPr>
        <w:t xml:space="preserve">  (4796,5/8671,4*100,0=55,3%), в суммовом выражении превышение расходов над нормативом составило 252,7 тыс. рублей.</w:t>
      </w:r>
    </w:p>
    <w:p w:rsidR="00C76512" w:rsidRDefault="00C76512" w:rsidP="00C7651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3106" w:rsidRDefault="00284FCB" w:rsidP="002F3106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76512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="00C76512"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>
        <w:rPr>
          <w:rFonts w:ascii="Times New Roman" w:hAnsi="Times New Roman" w:cs="Times New Roman"/>
          <w:sz w:val="28"/>
          <w:szCs w:val="28"/>
        </w:rPr>
        <w:t>182,2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 руб. или  100,0% к уточненному  плану.</w:t>
      </w:r>
    </w:p>
    <w:p w:rsidR="00C76512" w:rsidRDefault="00C76512" w:rsidP="002F3106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284FCB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 тыс. руб., в </w:t>
      </w:r>
      <w:r w:rsidR="006A301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4FCB">
        <w:rPr>
          <w:rFonts w:ascii="Times New Roman" w:hAnsi="Times New Roman" w:cs="Times New Roman"/>
          <w:sz w:val="28"/>
          <w:szCs w:val="28"/>
        </w:rPr>
        <w:t>1153,5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84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76512" w:rsidRDefault="00C76512" w:rsidP="00C765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84FCB">
        <w:rPr>
          <w:rFonts w:ascii="Times New Roman" w:hAnsi="Times New Roman" w:cs="Times New Roman"/>
          <w:sz w:val="28"/>
          <w:szCs w:val="28"/>
        </w:rPr>
        <w:t>3523,4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284FCB">
        <w:rPr>
          <w:rFonts w:ascii="Times New Roman" w:hAnsi="Times New Roman" w:cs="Times New Roman"/>
          <w:sz w:val="28"/>
          <w:szCs w:val="28"/>
        </w:rPr>
        <w:t>80,4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C76512" w:rsidRDefault="00C76512" w:rsidP="00C76512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9135" w:type="dxa"/>
        <w:tblLayout w:type="fixed"/>
        <w:tblLook w:val="04A0"/>
      </w:tblPr>
      <w:tblGrid>
        <w:gridCol w:w="2237"/>
        <w:gridCol w:w="2048"/>
        <w:gridCol w:w="1864"/>
        <w:gridCol w:w="1858"/>
        <w:gridCol w:w="1128"/>
      </w:tblGrid>
      <w:tr w:rsidR="00C76512" w:rsidTr="00284FCB">
        <w:trPr>
          <w:trHeight w:val="143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 w:rsidR="006A301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84FCB" w:rsidTr="00284FCB">
        <w:trPr>
          <w:trHeight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 w:rsidP="009E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6E0714" w:rsidP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</w:t>
            </w:r>
            <w:r w:rsidR="00C1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84FCB" w:rsidTr="00284FCB">
        <w:trPr>
          <w:trHeight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 w:rsidP="009E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5471,6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6E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84FCB" w:rsidTr="00284FCB">
        <w:trPr>
          <w:trHeight w:val="75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 w:rsidP="009E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6E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84FCB" w:rsidTr="00284FCB">
        <w:trPr>
          <w:trHeight w:val="3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284FCB" w:rsidP="009E3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6988,0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6E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3523,4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CB" w:rsidRDefault="00C1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C765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C765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жилищное хозяйство кассовые расходы  направлены на оплату взносов по капитальному ремонту жилфонда, ремонт жилого фонда.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коммунальное хозяйство в  области ЖКХ кассовые расходы исполнены в сумме </w:t>
      </w:r>
      <w:r w:rsidR="00FA00E7">
        <w:rPr>
          <w:rFonts w:ascii="Times New Roman" w:hAnsi="Times New Roman" w:cs="Times New Roman"/>
          <w:sz w:val="28"/>
          <w:szCs w:val="28"/>
        </w:rPr>
        <w:t>2528,6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произведены на поддержку коммунального хозяйства</w:t>
      </w:r>
      <w:r w:rsidR="00FA00E7">
        <w:rPr>
          <w:rFonts w:ascii="Times New Roman" w:hAnsi="Times New Roman" w:cs="Times New Roman"/>
          <w:sz w:val="28"/>
          <w:szCs w:val="28"/>
        </w:rPr>
        <w:t>, исполнение мероприятий по «Народному бюджету»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6F3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A00E7">
        <w:rPr>
          <w:rFonts w:ascii="Times New Roman" w:hAnsi="Times New Roman" w:cs="Times New Roman"/>
          <w:sz w:val="28"/>
          <w:szCs w:val="28"/>
        </w:rPr>
        <w:t>2765,3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A00E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Средства направлены на финансирование </w:t>
      </w:r>
      <w:r w:rsidR="00FA00E7">
        <w:rPr>
          <w:rFonts w:ascii="Times New Roman" w:hAnsi="Times New Roman" w:cs="Times New Roman"/>
          <w:sz w:val="28"/>
          <w:szCs w:val="28"/>
        </w:rPr>
        <w:t xml:space="preserve">сферы «Культура», </w:t>
      </w:r>
      <w:r w:rsidR="00FA00E7" w:rsidRPr="00F5494D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по</w:t>
      </w:r>
      <w:r w:rsidR="00FA00E7" w:rsidRPr="00F5494D">
        <w:rPr>
          <w:rFonts w:ascii="Arial" w:hAnsi="Arial" w:cs="Arial"/>
          <w:b/>
          <w:bCs/>
          <w:color w:val="000000" w:themeColor="text1"/>
          <w:spacing w:val="2"/>
          <w:sz w:val="21"/>
          <w:szCs w:val="21"/>
          <w:shd w:val="clear" w:color="auto" w:fill="FFFFFF"/>
        </w:rPr>
        <w:t xml:space="preserve"> </w:t>
      </w:r>
      <w:r w:rsidR="00FA00E7" w:rsidRPr="00F5494D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>организаци</w:t>
      </w:r>
      <w:r w:rsidR="00F5494D" w:rsidRPr="00F5494D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="00FA00E7" w:rsidRPr="00F5494D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библиотечного обслуживания</w:t>
      </w:r>
      <w:r w:rsidR="00F5494D" w:rsidRPr="00F5494D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являются полномочиями муниципального района.</w:t>
      </w:r>
      <w:r w:rsidR="00FA00E7" w:rsidRPr="00F5494D">
        <w:rPr>
          <w:rStyle w:val="apple-converted-space"/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C76512" w:rsidRDefault="00C7651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 и спорт» </w:t>
      </w:r>
      <w:r>
        <w:rPr>
          <w:rFonts w:ascii="Times New Roman" w:hAnsi="Times New Roman" w:cs="Times New Roman"/>
          <w:sz w:val="28"/>
          <w:szCs w:val="28"/>
        </w:rPr>
        <w:t>не производились.</w:t>
      </w:r>
    </w:p>
    <w:p w:rsidR="006F32C2" w:rsidRDefault="006F32C2" w:rsidP="00C76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C2" w:rsidRDefault="00C76512" w:rsidP="006F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14E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Состояние кредиторской</w:t>
      </w:r>
      <w:r w:rsidR="00914E9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914E9A">
        <w:rPr>
          <w:rFonts w:ascii="Times New Roman" w:hAnsi="Times New Roman" w:cs="Times New Roman"/>
          <w:b/>
          <w:sz w:val="28"/>
          <w:szCs w:val="28"/>
        </w:rPr>
        <w:t>дебиторской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задолженности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4E9A" w:rsidRDefault="00C76512" w:rsidP="006F32C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По состоянию на 01.01.201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составила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1226,1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01.01.2015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составляла 1074,7 тыс. рублей, увеличение за год составило 151,4 тыс. рублей.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4E9A" w:rsidRPr="002E3AF0" w:rsidRDefault="00914E9A" w:rsidP="00914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Дебиторская задолженность (по данным ф. 0503169) за год снизилась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46,7 тыс. рублей до 4,4 тыс. рублей или на 42,3 тыс. рублей.</w:t>
      </w:r>
    </w:p>
    <w:p w:rsidR="00914E9A" w:rsidRPr="002E3AF0" w:rsidRDefault="00914E9A" w:rsidP="00914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C76512" w:rsidRDefault="00C76512" w:rsidP="00C76512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6F32C2" w:rsidRDefault="00C76512" w:rsidP="006F32C2">
      <w:pPr>
        <w:pStyle w:val="a9"/>
        <w:numPr>
          <w:ilvl w:val="0"/>
          <w:numId w:val="6"/>
        </w:numPr>
        <w:tabs>
          <w:tab w:val="left" w:pos="95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32C2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Михайловское </w:t>
      </w:r>
      <w:proofErr w:type="spellStart"/>
      <w:r w:rsidRPr="006F32C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F32C2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Михайловское </w:t>
      </w:r>
      <w:proofErr w:type="spellStart"/>
      <w:r w:rsidRPr="006F32C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F32C2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A3015" w:rsidRPr="006F32C2">
        <w:rPr>
          <w:rFonts w:ascii="Times New Roman" w:hAnsi="Times New Roman" w:cs="Times New Roman"/>
          <w:sz w:val="28"/>
          <w:szCs w:val="28"/>
        </w:rPr>
        <w:t>2015</w:t>
      </w:r>
      <w:r w:rsidRPr="006F32C2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Михайловское </w:t>
      </w:r>
      <w:proofErr w:type="spellStart"/>
      <w:r w:rsidRPr="006F32C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F32C2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F32C2" w:rsidRDefault="006F32C2" w:rsidP="006F32C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106" w:rsidRDefault="006F32C2" w:rsidP="006F32C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2C2">
        <w:rPr>
          <w:rFonts w:ascii="Times New Roman" w:hAnsi="Times New Roman" w:cs="Times New Roman"/>
          <w:sz w:val="28"/>
          <w:szCs w:val="28"/>
        </w:rPr>
        <w:t>2.   Расходы на содержание органов местного самоуправления  привести в соответствие с утвержденным нормативом.</w:t>
      </w:r>
    </w:p>
    <w:p w:rsidR="006F32C2" w:rsidRPr="006F32C2" w:rsidRDefault="006F32C2" w:rsidP="006F32C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106" w:rsidRDefault="006F32C2" w:rsidP="00C76512">
      <w:pPr>
        <w:pStyle w:val="a9"/>
        <w:tabs>
          <w:tab w:val="left" w:pos="9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512">
        <w:rPr>
          <w:rFonts w:ascii="Times New Roman" w:hAnsi="Times New Roman" w:cs="Times New Roman"/>
          <w:sz w:val="28"/>
          <w:szCs w:val="28"/>
        </w:rPr>
        <w:t>.Контрольно-</w:t>
      </w:r>
      <w:r w:rsidR="00317012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C765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76512">
        <w:rPr>
          <w:rFonts w:ascii="Times New Roman" w:hAnsi="Times New Roman" w:cs="Times New Roman"/>
          <w:sz w:val="28"/>
          <w:szCs w:val="28"/>
        </w:rPr>
        <w:t>Куркинскийрайон</w:t>
      </w:r>
      <w:proofErr w:type="spellEnd"/>
      <w:r w:rsidR="00C76512">
        <w:rPr>
          <w:rFonts w:ascii="Times New Roman" w:hAnsi="Times New Roman" w:cs="Times New Roman"/>
          <w:sz w:val="28"/>
          <w:szCs w:val="28"/>
        </w:rPr>
        <w:t xml:space="preserve"> считает возможным предложить Собранию депутатов  муниципального образования Михайловское </w:t>
      </w:r>
      <w:proofErr w:type="spellStart"/>
      <w:r w:rsidR="00C7651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C76512">
        <w:rPr>
          <w:rFonts w:ascii="Times New Roman" w:hAnsi="Times New Roman" w:cs="Times New Roman"/>
          <w:sz w:val="28"/>
          <w:szCs w:val="28"/>
        </w:rPr>
        <w:t xml:space="preserve"> района утвердить годовой отчет об исполнении бюджета муниципального образования </w:t>
      </w:r>
      <w:r w:rsidR="00317012">
        <w:rPr>
          <w:rFonts w:ascii="Times New Roman" w:hAnsi="Times New Roman" w:cs="Times New Roman"/>
          <w:sz w:val="28"/>
          <w:szCs w:val="28"/>
        </w:rPr>
        <w:t xml:space="preserve">Михайловское </w:t>
      </w:r>
      <w:proofErr w:type="spellStart"/>
      <w:r w:rsidR="00C7651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C76512">
        <w:rPr>
          <w:rFonts w:ascii="Times New Roman" w:hAnsi="Times New Roman" w:cs="Times New Roman"/>
          <w:sz w:val="28"/>
          <w:szCs w:val="28"/>
        </w:rPr>
        <w:t xml:space="preserve">  района за </w:t>
      </w:r>
      <w:r w:rsidR="006A3015">
        <w:rPr>
          <w:rFonts w:ascii="Times New Roman" w:hAnsi="Times New Roman" w:cs="Times New Roman"/>
          <w:sz w:val="28"/>
          <w:szCs w:val="28"/>
        </w:rPr>
        <w:t>2015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6512" w:rsidRDefault="006F32C2" w:rsidP="006F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512">
        <w:rPr>
          <w:rFonts w:ascii="Times New Roman" w:hAnsi="Times New Roman" w:cs="Times New Roman"/>
          <w:sz w:val="28"/>
          <w:szCs w:val="28"/>
        </w:rPr>
        <w:t xml:space="preserve">.В утвержденное Положение о бюджетном процессе муниципального образования Михайловское </w:t>
      </w:r>
      <w:proofErr w:type="spellStart"/>
      <w:r w:rsidR="00C7651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C76512">
        <w:rPr>
          <w:rFonts w:ascii="Times New Roman" w:hAnsi="Times New Roman" w:cs="Times New Roman"/>
          <w:sz w:val="28"/>
          <w:szCs w:val="28"/>
        </w:rPr>
        <w:t xml:space="preserve"> района требуется внесение изменений с учетом действующих редакции Бюджетного Кодекса, структуры администрации муниципального образования Михайловское </w:t>
      </w:r>
      <w:proofErr w:type="spellStart"/>
      <w:r w:rsidR="00C7651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C765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6512" w:rsidRDefault="00C76512" w:rsidP="00C7651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76512" w:rsidRDefault="00C76512" w:rsidP="00C7651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C76512" w:rsidRDefault="00C76512" w:rsidP="00C7651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6512" w:rsidRDefault="00C76512" w:rsidP="00C76512">
      <w:pPr>
        <w:tabs>
          <w:tab w:val="left" w:pos="956"/>
        </w:tabs>
        <w:spacing w:after="0"/>
        <w:ind w:left="956" w:hanging="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0C5A5D" w:rsidRDefault="000C5A5D"/>
    <w:sectPr w:rsidR="000C5A5D" w:rsidSect="000C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E4C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12"/>
    <w:rsid w:val="00014AD8"/>
    <w:rsid w:val="000A1A16"/>
    <w:rsid w:val="000C5A5D"/>
    <w:rsid w:val="000D1650"/>
    <w:rsid w:val="000D2868"/>
    <w:rsid w:val="00135C0A"/>
    <w:rsid w:val="00165C50"/>
    <w:rsid w:val="00176646"/>
    <w:rsid w:val="001C58A9"/>
    <w:rsid w:val="001F2C24"/>
    <w:rsid w:val="00203143"/>
    <w:rsid w:val="0027197A"/>
    <w:rsid w:val="00284FCB"/>
    <w:rsid w:val="002975CE"/>
    <w:rsid w:val="002C41D0"/>
    <w:rsid w:val="002F3106"/>
    <w:rsid w:val="00317012"/>
    <w:rsid w:val="003B1A5F"/>
    <w:rsid w:val="00485DEB"/>
    <w:rsid w:val="00486C15"/>
    <w:rsid w:val="004A01F2"/>
    <w:rsid w:val="004A7997"/>
    <w:rsid w:val="005368D4"/>
    <w:rsid w:val="0059557F"/>
    <w:rsid w:val="005B657A"/>
    <w:rsid w:val="00615E10"/>
    <w:rsid w:val="006928A5"/>
    <w:rsid w:val="006A3015"/>
    <w:rsid w:val="006E0714"/>
    <w:rsid w:val="006F32C2"/>
    <w:rsid w:val="007070AC"/>
    <w:rsid w:val="0074374B"/>
    <w:rsid w:val="0085743C"/>
    <w:rsid w:val="00866FFC"/>
    <w:rsid w:val="00874766"/>
    <w:rsid w:val="008C1E78"/>
    <w:rsid w:val="008C2B45"/>
    <w:rsid w:val="008E7021"/>
    <w:rsid w:val="00906EC5"/>
    <w:rsid w:val="00914E9A"/>
    <w:rsid w:val="0094578E"/>
    <w:rsid w:val="009E3A89"/>
    <w:rsid w:val="00A22A74"/>
    <w:rsid w:val="00A54344"/>
    <w:rsid w:val="00A64C18"/>
    <w:rsid w:val="00A91B63"/>
    <w:rsid w:val="00AB5E1F"/>
    <w:rsid w:val="00AD6C80"/>
    <w:rsid w:val="00AE3CB5"/>
    <w:rsid w:val="00AF142A"/>
    <w:rsid w:val="00C1739C"/>
    <w:rsid w:val="00C31432"/>
    <w:rsid w:val="00C56C0A"/>
    <w:rsid w:val="00C76512"/>
    <w:rsid w:val="00C8748B"/>
    <w:rsid w:val="00C97FAB"/>
    <w:rsid w:val="00D418B5"/>
    <w:rsid w:val="00D44495"/>
    <w:rsid w:val="00D62845"/>
    <w:rsid w:val="00DB699B"/>
    <w:rsid w:val="00E14AC8"/>
    <w:rsid w:val="00E42671"/>
    <w:rsid w:val="00EB1831"/>
    <w:rsid w:val="00EB4D83"/>
    <w:rsid w:val="00EB69A9"/>
    <w:rsid w:val="00ED6982"/>
    <w:rsid w:val="00EE3314"/>
    <w:rsid w:val="00EE5FD4"/>
    <w:rsid w:val="00F44540"/>
    <w:rsid w:val="00F54087"/>
    <w:rsid w:val="00F5494D"/>
    <w:rsid w:val="00F65650"/>
    <w:rsid w:val="00F90C4B"/>
    <w:rsid w:val="00FA00E7"/>
    <w:rsid w:val="00F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512"/>
  </w:style>
  <w:style w:type="paragraph" w:styleId="a5">
    <w:name w:val="footer"/>
    <w:basedOn w:val="a"/>
    <w:link w:val="a6"/>
    <w:uiPriority w:val="99"/>
    <w:semiHidden/>
    <w:unhideWhenUsed/>
    <w:rsid w:val="00C7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512"/>
  </w:style>
  <w:style w:type="paragraph" w:styleId="a7">
    <w:name w:val="Balloon Text"/>
    <w:basedOn w:val="a"/>
    <w:link w:val="a8"/>
    <w:uiPriority w:val="99"/>
    <w:semiHidden/>
    <w:unhideWhenUsed/>
    <w:rsid w:val="00C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5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76512"/>
    <w:pPr>
      <w:ind w:left="720"/>
      <w:contextualSpacing/>
    </w:pPr>
  </w:style>
  <w:style w:type="table" w:styleId="aa">
    <w:name w:val="Table Grid"/>
    <w:basedOn w:val="a1"/>
    <w:uiPriority w:val="59"/>
    <w:rsid w:val="00C7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00E7"/>
  </w:style>
  <w:style w:type="paragraph" w:customStyle="1" w:styleId="headertext">
    <w:name w:val="headertext"/>
    <w:basedOn w:val="a"/>
    <w:rsid w:val="009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15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2016-03-11T07:59:00Z</cp:lastPrinted>
  <dcterms:created xsi:type="dcterms:W3CDTF">2016-02-18T14:02:00Z</dcterms:created>
  <dcterms:modified xsi:type="dcterms:W3CDTF">2016-06-06T08:51:00Z</dcterms:modified>
</cp:coreProperties>
</file>