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F" w:rsidRDefault="00B60F7B" w:rsidP="00B6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1F">
        <w:rPr>
          <w:rFonts w:ascii="Times New Roman" w:hAnsi="Times New Roman" w:cs="Times New Roman"/>
          <w:b/>
          <w:sz w:val="40"/>
          <w:szCs w:val="40"/>
        </w:rPr>
        <w:t>Заключение</w:t>
      </w:r>
      <w:r w:rsidR="001A0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F7B" w:rsidRDefault="001A071F" w:rsidP="00B6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внешней проверки годового отчета</w:t>
      </w:r>
      <w:r w:rsidR="00B60F7B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</w:t>
      </w:r>
    </w:p>
    <w:p w:rsidR="00B60F7B" w:rsidRDefault="00B60F7B" w:rsidP="00B6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Куркинский район</w:t>
      </w:r>
    </w:p>
    <w:p w:rsidR="00B60F7B" w:rsidRDefault="00B60F7B" w:rsidP="00B6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071F">
        <w:rPr>
          <w:rFonts w:ascii="Times New Roman" w:hAnsi="Times New Roman" w:cs="Times New Roman"/>
          <w:b/>
          <w:sz w:val="28"/>
          <w:szCs w:val="28"/>
        </w:rPr>
        <w:t>201</w:t>
      </w:r>
      <w:r w:rsidR="004F1A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60F7B" w:rsidRDefault="00B60F7B" w:rsidP="00B60F7B">
      <w:pPr>
        <w:rPr>
          <w:rFonts w:ascii="Times New Roman" w:hAnsi="Times New Roman" w:cs="Times New Roman"/>
          <w:sz w:val="28"/>
          <w:szCs w:val="28"/>
        </w:rPr>
      </w:pPr>
    </w:p>
    <w:p w:rsidR="00B60F7B" w:rsidRDefault="001A071F" w:rsidP="00B6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60F7B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0F7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р.п</w:t>
      </w:r>
      <w:proofErr w:type="gramStart"/>
      <w:r w:rsidR="00B60F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60F7B">
        <w:rPr>
          <w:rFonts w:ascii="Times New Roman" w:hAnsi="Times New Roman" w:cs="Times New Roman"/>
          <w:sz w:val="28"/>
          <w:szCs w:val="28"/>
        </w:rPr>
        <w:t>уркино</w:t>
      </w:r>
    </w:p>
    <w:p w:rsidR="00B60F7B" w:rsidRDefault="00B60F7B" w:rsidP="00B60F7B">
      <w:pPr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1A071F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Заключение подготовлено на основании Положения о бюджетном процессе в муниципальном образовании Куркинский район, Положения о Контрольно-ревизионной комиссии муниципально</w:t>
      </w:r>
      <w:r w:rsidR="001A071F">
        <w:rPr>
          <w:rFonts w:ascii="Times New Roman" w:hAnsi="Times New Roman" w:cs="Times New Roman"/>
          <w:sz w:val="28"/>
          <w:szCs w:val="28"/>
        </w:rPr>
        <w:t>го образования Куркинский район, в соответствии с пунктом 3.1</w:t>
      </w:r>
      <w:r w:rsidR="001A071F" w:rsidRPr="001A071F">
        <w:rPr>
          <w:b/>
          <w:bCs/>
          <w:sz w:val="28"/>
          <w:szCs w:val="28"/>
        </w:rPr>
        <w:t xml:space="preserve"> </w:t>
      </w:r>
      <w:r w:rsidR="001A071F" w:rsidRPr="001A071F">
        <w:rPr>
          <w:rFonts w:ascii="Times New Roman" w:hAnsi="Times New Roman" w:cs="Times New Roman"/>
          <w:bCs/>
          <w:sz w:val="28"/>
          <w:szCs w:val="28"/>
        </w:rPr>
        <w:t>План</w:t>
      </w:r>
      <w:r w:rsidR="001A071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A071F">
        <w:rPr>
          <w:rFonts w:ascii="Times New Roman" w:hAnsi="Times New Roman" w:cs="Times New Roman"/>
          <w:bCs/>
          <w:sz w:val="28"/>
          <w:szCs w:val="28"/>
        </w:rPr>
        <w:br/>
        <w:t xml:space="preserve">работ </w:t>
      </w:r>
      <w:r w:rsidR="001A071F" w:rsidRPr="001A071F">
        <w:rPr>
          <w:rFonts w:ascii="Times New Roman" w:hAnsi="Times New Roman" w:cs="Times New Roman"/>
          <w:bCs/>
          <w:sz w:val="28"/>
          <w:szCs w:val="28"/>
        </w:rPr>
        <w:t>Контрольно-ревизионной</w:t>
      </w:r>
      <w:r w:rsidR="001A071F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1A071F" w:rsidRPr="001A071F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1A0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71F" w:rsidRPr="001A071F">
        <w:rPr>
          <w:rFonts w:ascii="Times New Roman" w:hAnsi="Times New Roman" w:cs="Times New Roman"/>
          <w:bCs/>
          <w:sz w:val="28"/>
          <w:szCs w:val="28"/>
        </w:rPr>
        <w:t>муниципального образования Куркинский район на  2016 год.</w:t>
      </w:r>
    </w:p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исполнения бюджета муниципального образования Куркинский район.</w:t>
      </w:r>
      <w:proofErr w:type="gramEnd"/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Куркинский район на проект решения Собрания представителей муниципального образования Куркинский район «Об исполнении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п.2 ст.264.4 БК РФ и Положения о бюджетном процессе муниципального образования Куркинский район. В соответствии с п.3 ст.264.4 БК РФ и  Положения о бюджетном процессе указанный отчет об исполнении бюджета своевременно (до 1 апреля) представлен в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ревизионн</w:t>
      </w:r>
      <w:r w:rsidR="001A071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A07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Куркинский район, с приложением к нему установленных  Положением о бюджетном процессе муниципального образования Куркинский район, материалов и документов. В соответствии с  Положением о бюджетном процессе в муниципальном образовании Куркинский район организация исполнения бюджета муниципального образования Куркинский район возложена на Финансовое управление администрации муниципального образования Куркинский район.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Контрольно-ревизионной комиссии муниципального образования Куркинский район  показала, что при исполнении  бюджета муниципального образования Куркинский район в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требования Федерального и регионального законодательства, нормативных 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Собрания представителей муниципального образования Куркинский район, в основном, соблюдались. 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Внешняя проверка бюджетной отчетности об исполнении бюджета муниципального образования Куркинский район.</w:t>
      </w:r>
    </w:p>
    <w:p w:rsidR="00B60F7B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Куркинский район Администрацией муниципального образования Куркинский район для проведения внешней  проверки  представлена бюджетная отчетность исполнения бюджета муниципального образования Куркинский район.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B60F7B" w:rsidRDefault="00B60F7B" w:rsidP="00B60F7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B60F7B" w:rsidRDefault="00B60F7B" w:rsidP="00B60F7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B60F7B" w:rsidRDefault="00B60F7B" w:rsidP="00B60F7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B60F7B" w:rsidRDefault="00B60F7B" w:rsidP="00B60F7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B60F7B" w:rsidRDefault="00B60F7B" w:rsidP="00B60F7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1A071F" w:rsidRDefault="001A071F" w:rsidP="001A071F">
      <w:pPr>
        <w:pStyle w:val="a9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B60F7B" w:rsidRDefault="001A071F" w:rsidP="00B60F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60F7B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 w:rsidR="00B60F7B">
        <w:rPr>
          <w:rFonts w:ascii="Times New Roman" w:hAnsi="Times New Roman" w:cs="Times New Roman"/>
          <w:sz w:val="28"/>
          <w:szCs w:val="28"/>
        </w:rPr>
        <w:t xml:space="preserve">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представлена финансовым управлением администрации муниципального образования Куркинский район, как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7B">
        <w:rPr>
          <w:rFonts w:ascii="Times New Roman" w:hAnsi="Times New Roman" w:cs="Times New Roman"/>
          <w:sz w:val="28"/>
          <w:szCs w:val="28"/>
        </w:rPr>
        <w:t xml:space="preserve"> организующим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7B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7B">
        <w:rPr>
          <w:rFonts w:ascii="Times New Roman" w:hAnsi="Times New Roman" w:cs="Times New Roman"/>
          <w:sz w:val="28"/>
          <w:szCs w:val="28"/>
        </w:rPr>
        <w:t>бюджета муниципального образования Куркинский  район в полном объеме.</w:t>
      </w:r>
      <w:proofErr w:type="gramEnd"/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годовой бюджетной отчетности Администрации муниципального образования Куркинский район сведения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доходам бюджета  соответствуют доходам, отраженным в приложении №2 «Отчет об исполнении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год» к проекту Решения «Об исполнении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п.4 Приказа ФНС РФ от 05.12.2008 № мм-3-1/6в редакции от 30.12.2011г.) «О порядке осуществления территориальными органами Федеральной налоговой службы бюджетных полномочий главных администраторов доходов и администраторов доходов бюджетов бюджетной системы Российской Федерации» налоговые органы обязаны обеспечить представление бюджетной отчетности главного администратора доходов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орган, организующий исполнение районного бюджета.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Бюджетная отчетность налоговой инспекции, как главного администратора доходов бюджета проверке  представлена.</w:t>
      </w:r>
    </w:p>
    <w:p w:rsidR="00B60F7B" w:rsidRDefault="00B60F7B" w:rsidP="00B60F7B">
      <w:pPr>
        <w:tabs>
          <w:tab w:val="left" w:pos="1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Анализ исполнения отдельных текстовых статей Решения Собрания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представителей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Куркинский район  «О бюджете муниципального образования Куркинский район на </w:t>
      </w:r>
      <w:r w:rsidR="001A071F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19 Решения от 25.12.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№4-1 «О бюджете муниципального образования Куркинский район на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A071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6C22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гг.» определено, что Администрация муниципального образования не вправе принимать в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муниципальных служащих и работников муниципальных учреждений.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выполнения данной статьи представлен в таблице:</w:t>
      </w:r>
    </w:p>
    <w:tbl>
      <w:tblPr>
        <w:tblStyle w:val="aa"/>
        <w:tblW w:w="9490" w:type="dxa"/>
        <w:tblLayout w:type="fixed"/>
        <w:tblLook w:val="04A0"/>
      </w:tblPr>
      <w:tblGrid>
        <w:gridCol w:w="5893"/>
        <w:gridCol w:w="1798"/>
        <w:gridCol w:w="1799"/>
      </w:tblGrid>
      <w:tr w:rsidR="004F1ACD" w:rsidTr="004F1ACD">
        <w:trPr>
          <w:trHeight w:val="1312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распорядители и муниципальные учреждения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 на 01.01.2015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 на 31.12.2015     года</w:t>
            </w:r>
          </w:p>
        </w:tc>
      </w:tr>
      <w:tr w:rsidR="004F1ACD" w:rsidTr="004F1ACD">
        <w:trPr>
          <w:trHeight w:val="606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Куркинский район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4F1ACD" w:rsidTr="004F1ACD">
        <w:trPr>
          <w:trHeight w:val="303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представителей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F1ACD" w:rsidTr="004F1ACD">
        <w:trPr>
          <w:trHeight w:val="923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F1ACD" w:rsidTr="004F1ACD">
        <w:trPr>
          <w:trHeight w:val="31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сельского хозяйства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F1ACD" w:rsidTr="004F1ACD">
        <w:trPr>
          <w:trHeight w:val="303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4F1ACD" w:rsidTr="004F1ACD">
        <w:trPr>
          <w:trHeight w:val="303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4F1ACD" w:rsidTr="004F1ACD">
        <w:trPr>
          <w:trHeight w:val="31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 w:rsidP="004D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CD" w:rsidRDefault="004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</w:tbl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88B" w:rsidRDefault="00B60F7B" w:rsidP="00CA688B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численность муниципальных служащих, работников муниципальных учреждений и приравненных к ним лиц в </w:t>
      </w:r>
      <w:r w:rsidR="001A071F"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 </w:t>
      </w:r>
      <w:r w:rsidR="004F1ACD"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изменилась. </w:t>
      </w:r>
    </w:p>
    <w:p w:rsidR="00B60F7B" w:rsidRPr="00CA688B" w:rsidRDefault="004F1ACD" w:rsidP="00CA688B">
      <w:pPr>
        <w:shd w:val="clear" w:color="auto" w:fill="FFFFFF"/>
        <w:spacing w:before="150" w:after="75" w:line="288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лиц, замещающих муниципальные должности, и муниципальных с</w:t>
      </w:r>
      <w:r w:rsidR="00CA688B">
        <w:rPr>
          <w:rFonts w:ascii="Times New Roman" w:hAnsi="Times New Roman" w:cs="Times New Roman"/>
          <w:color w:val="000000" w:themeColor="text1"/>
          <w:sz w:val="28"/>
          <w:szCs w:val="28"/>
        </w:rPr>
        <w:t>лужащих соответствует нормативу</w:t>
      </w:r>
      <w:r w:rsidRPr="00CA688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утвержденному постановлением Правительства Тульской области от 21 марта 2012 года №116</w:t>
      </w:r>
      <w:r w:rsidR="00CA688B" w:rsidRPr="00CA688B">
        <w:rPr>
          <w:rFonts w:ascii="Arial" w:eastAsia="Times New Roman" w:hAnsi="Arial" w:cs="Arial"/>
          <w:color w:val="000000" w:themeColor="text1"/>
          <w:spacing w:val="2"/>
          <w:sz w:val="31"/>
          <w:szCs w:val="31"/>
          <w:lang w:eastAsia="ru-RU"/>
        </w:rPr>
        <w:t xml:space="preserve"> </w:t>
      </w:r>
      <w:r w:rsidR="00CA688B">
        <w:rPr>
          <w:rFonts w:ascii="Arial" w:eastAsia="Times New Roman" w:hAnsi="Arial" w:cs="Arial"/>
          <w:color w:val="000000" w:themeColor="text1"/>
          <w:spacing w:val="2"/>
          <w:sz w:val="31"/>
          <w:szCs w:val="31"/>
          <w:lang w:eastAsia="ru-RU"/>
        </w:rPr>
        <w:t>«</w:t>
      </w:r>
      <w:r w:rsidR="00CA688B" w:rsidRPr="00CA68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="00CA688B" w:rsidRPr="00CA68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служащих и содержание органов местного самоуправления тульской области</w:t>
      </w:r>
      <w:r w:rsidR="00CA688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».</w:t>
      </w:r>
    </w:p>
    <w:p w:rsidR="00B60F7B" w:rsidRDefault="00B60F7B" w:rsidP="00B60F7B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Фактические затраты на денежное содержание работников органов местного самоуправления муниципального образования Куркинский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увеличились  по сравнению с 201</w:t>
      </w:r>
      <w:r w:rsidR="00CA68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CA688B">
        <w:rPr>
          <w:rFonts w:ascii="Times New Roman" w:hAnsi="Times New Roman" w:cs="Times New Roman"/>
          <w:sz w:val="28"/>
          <w:szCs w:val="28"/>
        </w:rPr>
        <w:t>2428,8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32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B60F7B" w:rsidRDefault="00B60F7B" w:rsidP="00B60F7B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Численность штатных единиц муниципальных учреждений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16173">
        <w:rPr>
          <w:rFonts w:ascii="Times New Roman" w:hAnsi="Times New Roman" w:cs="Times New Roman"/>
          <w:sz w:val="28"/>
          <w:szCs w:val="28"/>
        </w:rPr>
        <w:t>сохранилось на уровне 2014 года (574 шт. ед.).</w:t>
      </w:r>
    </w:p>
    <w:p w:rsidR="00B60F7B" w:rsidRDefault="00B60F7B" w:rsidP="00B60F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0F7B" w:rsidRDefault="00B60F7B" w:rsidP="00B60F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исполнения бюджета муниципального образования Куркинский район.</w:t>
      </w:r>
    </w:p>
    <w:p w:rsidR="00B60F7B" w:rsidRDefault="00B60F7B" w:rsidP="00B60F7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Куркинский район на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представителей муниципального образования Куркинский район от 2</w:t>
      </w:r>
      <w:r w:rsidR="00CA68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CA68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A688B">
        <w:rPr>
          <w:rFonts w:ascii="Times New Roman" w:hAnsi="Times New Roman" w:cs="Times New Roman"/>
          <w:sz w:val="28"/>
          <w:szCs w:val="28"/>
        </w:rPr>
        <w:t>11-3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Куркинский район на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A071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CA68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(с учетом безвозмездных поступлений) в сумме </w:t>
      </w:r>
      <w:r w:rsidR="00CA688B">
        <w:rPr>
          <w:rFonts w:ascii="Times New Roman" w:hAnsi="Times New Roman" w:cs="Times New Roman"/>
          <w:sz w:val="28"/>
          <w:szCs w:val="28"/>
        </w:rPr>
        <w:t>212785,4</w:t>
      </w:r>
      <w:r>
        <w:rPr>
          <w:rFonts w:ascii="Times New Roman" w:hAnsi="Times New Roman" w:cs="Times New Roman"/>
          <w:sz w:val="28"/>
          <w:szCs w:val="28"/>
        </w:rPr>
        <w:t xml:space="preserve"> тыс. руб., расходам </w:t>
      </w:r>
      <w:r w:rsidR="00CA688B">
        <w:rPr>
          <w:rFonts w:ascii="Times New Roman" w:hAnsi="Times New Roman" w:cs="Times New Roman"/>
          <w:sz w:val="28"/>
          <w:szCs w:val="28"/>
        </w:rPr>
        <w:t>215185,4</w:t>
      </w:r>
      <w:r>
        <w:rPr>
          <w:rFonts w:ascii="Times New Roman" w:hAnsi="Times New Roman" w:cs="Times New Roman"/>
          <w:sz w:val="28"/>
          <w:szCs w:val="28"/>
        </w:rPr>
        <w:t xml:space="preserve"> тыс. руб., дефицит </w:t>
      </w:r>
      <w:r w:rsidR="00CA688B">
        <w:rPr>
          <w:rFonts w:ascii="Times New Roman" w:hAnsi="Times New Roman" w:cs="Times New Roman"/>
          <w:sz w:val="28"/>
          <w:szCs w:val="28"/>
        </w:rPr>
        <w:t>2400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представителей муниципального образования Куркинский район </w:t>
      </w:r>
      <w:r w:rsidR="00CA688B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  <w:r w:rsidR="00CA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результате, уточненные плановые назначения на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CA688B">
        <w:rPr>
          <w:rFonts w:ascii="Times New Roman" w:hAnsi="Times New Roman" w:cs="Times New Roman"/>
          <w:sz w:val="28"/>
          <w:szCs w:val="28"/>
        </w:rPr>
        <w:t>245123,4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CA688B">
        <w:rPr>
          <w:rFonts w:ascii="Times New Roman" w:hAnsi="Times New Roman" w:cs="Times New Roman"/>
          <w:sz w:val="28"/>
          <w:szCs w:val="28"/>
        </w:rPr>
        <w:t>260169,3</w:t>
      </w:r>
      <w:r>
        <w:rPr>
          <w:rFonts w:ascii="Times New Roman" w:hAnsi="Times New Roman" w:cs="Times New Roman"/>
          <w:sz w:val="28"/>
          <w:szCs w:val="28"/>
        </w:rPr>
        <w:t xml:space="preserve"> тыс. руб., и дефицит</w:t>
      </w:r>
      <w:r w:rsidR="00CA688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88B">
        <w:rPr>
          <w:rFonts w:ascii="Times New Roman" w:hAnsi="Times New Roman" w:cs="Times New Roman"/>
          <w:sz w:val="28"/>
          <w:szCs w:val="28"/>
        </w:rPr>
        <w:t>15045,9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установлены: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в сумме </w:t>
      </w:r>
      <w:r w:rsidR="00CA688B">
        <w:rPr>
          <w:rFonts w:ascii="Times New Roman" w:hAnsi="Times New Roman" w:cs="Times New Roman"/>
          <w:sz w:val="28"/>
          <w:szCs w:val="28"/>
        </w:rPr>
        <w:t>12645,9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-бюджетные кредиты от других бюджетов бюджетной системы Российской Федерации в сумме </w:t>
      </w:r>
      <w:r w:rsidR="00CA688B">
        <w:rPr>
          <w:rFonts w:ascii="Times New Roman" w:hAnsi="Times New Roman" w:cs="Times New Roman"/>
          <w:sz w:val="28"/>
          <w:szCs w:val="28"/>
        </w:rPr>
        <w:t>2400,0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Куркинский район сложились в сумме </w:t>
      </w:r>
      <w:r w:rsidR="001A4018">
        <w:rPr>
          <w:rFonts w:ascii="Times New Roman" w:hAnsi="Times New Roman" w:cs="Times New Roman"/>
          <w:sz w:val="28"/>
          <w:szCs w:val="28"/>
        </w:rPr>
        <w:t>247075,4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A4018">
        <w:rPr>
          <w:rFonts w:ascii="Times New Roman" w:hAnsi="Times New Roman" w:cs="Times New Roman"/>
          <w:sz w:val="28"/>
          <w:szCs w:val="28"/>
        </w:rPr>
        <w:t>100,8</w:t>
      </w:r>
      <w:r>
        <w:rPr>
          <w:rFonts w:ascii="Times New Roman" w:hAnsi="Times New Roman" w:cs="Times New Roman"/>
          <w:sz w:val="28"/>
          <w:szCs w:val="28"/>
        </w:rPr>
        <w:t>% уточненных плановых назначений), расходы –</w:t>
      </w:r>
      <w:r w:rsidR="003A5932">
        <w:rPr>
          <w:rFonts w:ascii="Times New Roman" w:hAnsi="Times New Roman" w:cs="Times New Roman"/>
          <w:sz w:val="28"/>
          <w:szCs w:val="28"/>
        </w:rPr>
        <w:t>256405,2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3A5932">
        <w:rPr>
          <w:rFonts w:ascii="Times New Roman" w:hAnsi="Times New Roman" w:cs="Times New Roman"/>
          <w:sz w:val="28"/>
          <w:szCs w:val="28"/>
        </w:rPr>
        <w:t>98,6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 и </w:t>
      </w:r>
      <w:r w:rsidR="003A5932">
        <w:rPr>
          <w:rFonts w:ascii="Times New Roman" w:hAnsi="Times New Roman" w:cs="Times New Roman"/>
          <w:sz w:val="28"/>
          <w:szCs w:val="28"/>
        </w:rPr>
        <w:t>119,6</w:t>
      </w:r>
      <w:r>
        <w:rPr>
          <w:rFonts w:ascii="Times New Roman" w:hAnsi="Times New Roman" w:cs="Times New Roman"/>
          <w:sz w:val="28"/>
          <w:szCs w:val="28"/>
        </w:rPr>
        <w:t xml:space="preserve">% плана, утвержденного на начало года), бюджет исполнен с превышением расходов над доходами (дефицитом) в сумме </w:t>
      </w:r>
      <w:r w:rsidR="003A5932">
        <w:rPr>
          <w:rFonts w:ascii="Times New Roman" w:hAnsi="Times New Roman" w:cs="Times New Roman"/>
          <w:sz w:val="28"/>
          <w:szCs w:val="28"/>
        </w:rPr>
        <w:t>9329,7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установлены: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-изменение остатков средств на счетах по учету средств бюджета в сумме </w:t>
      </w:r>
      <w:r w:rsidR="003A5932">
        <w:rPr>
          <w:rFonts w:ascii="Times New Roman" w:hAnsi="Times New Roman" w:cs="Times New Roman"/>
          <w:sz w:val="28"/>
          <w:szCs w:val="28"/>
        </w:rPr>
        <w:t>7549,7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бюджетных кредитов -</w:t>
      </w:r>
      <w:r w:rsidR="003A5932">
        <w:rPr>
          <w:rFonts w:ascii="Times New Roman" w:hAnsi="Times New Roman" w:cs="Times New Roman"/>
          <w:sz w:val="28"/>
          <w:szCs w:val="28"/>
        </w:rPr>
        <w:t xml:space="preserve">1780,0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60F7B" w:rsidRDefault="006E7EDE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7EDE">
        <w:rPr>
          <w:rFonts w:ascii="Times New Roman" w:hAnsi="Times New Roman" w:cs="Times New Roman"/>
          <w:sz w:val="28"/>
          <w:szCs w:val="28"/>
        </w:rPr>
        <w:t>редельн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7EDE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EDE">
        <w:rPr>
          <w:rFonts w:ascii="Times New Roman" w:hAnsi="Times New Roman" w:cs="Times New Roman"/>
          <w:sz w:val="28"/>
          <w:szCs w:val="28"/>
        </w:rPr>
        <w:t xml:space="preserve">не превышал допустимые значения (10%), установленные статьей 92.1 Бюджетного кодекса Российской Федерации. 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прошлого года представлено в таблице.</w:t>
      </w:r>
    </w:p>
    <w:tbl>
      <w:tblPr>
        <w:tblStyle w:val="aa"/>
        <w:tblW w:w="0" w:type="auto"/>
        <w:tblLook w:val="04A0"/>
      </w:tblPr>
      <w:tblGrid>
        <w:gridCol w:w="2802"/>
        <w:gridCol w:w="1559"/>
        <w:gridCol w:w="1559"/>
        <w:gridCol w:w="1843"/>
        <w:gridCol w:w="1808"/>
      </w:tblGrid>
      <w:tr w:rsidR="00B60F7B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 w:rsidP="0040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</w:t>
            </w:r>
            <w:r w:rsidR="00403D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201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F7B" w:rsidRDefault="001A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B60F7B">
              <w:rPr>
                <w:rFonts w:ascii="Times New Roman" w:hAnsi="Times New Roman" w:cs="Times New Roman"/>
                <w:b/>
                <w:sz w:val="24"/>
                <w:szCs w:val="24"/>
              </w:rPr>
              <w:t>г к 201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0F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275545,0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247075,4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-28469,6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89,7</w:t>
            </w: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+640,7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-2240,8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94,1</w:t>
            </w: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+2881,5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16" w:rsidRDefault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-29110,3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16" w:rsidRDefault="000F7F16" w:rsidP="000F7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87,1</w:t>
            </w: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5C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403D5C" w:rsidP="004D0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282299,1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256405,2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-25893,9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5C" w:rsidRDefault="000F7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90,8</w:t>
            </w:r>
          </w:p>
        </w:tc>
      </w:tr>
      <w:tr w:rsidR="00B60F7B" w:rsidTr="00B60F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B" w:rsidRDefault="00B60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B" w:rsidRDefault="00B60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B" w:rsidRDefault="00B60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B" w:rsidRDefault="00B60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B" w:rsidRDefault="00B60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доходная часть бюджета муниципального образования Куркинский район </w:t>
      </w:r>
      <w:r w:rsidR="000F7F16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илась на </w:t>
      </w:r>
      <w:r w:rsidR="000F7F16">
        <w:rPr>
          <w:rFonts w:ascii="Times New Roman" w:hAnsi="Times New Roman" w:cs="Times New Roman"/>
          <w:sz w:val="28"/>
          <w:szCs w:val="28"/>
        </w:rPr>
        <w:t>28469,6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F7F16">
        <w:rPr>
          <w:rFonts w:ascii="Times New Roman" w:hAnsi="Times New Roman" w:cs="Times New Roman"/>
          <w:sz w:val="28"/>
          <w:szCs w:val="28"/>
        </w:rPr>
        <w:t>89,7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0F7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уровню прошлого года.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Исполнение доходной части бюджета муниципального образования</w:t>
      </w:r>
    </w:p>
    <w:p w:rsidR="00B60F7B" w:rsidRDefault="00B60F7B" w:rsidP="00B6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a"/>
        <w:tblW w:w="10485" w:type="dxa"/>
        <w:tblInd w:w="-601" w:type="dxa"/>
        <w:tblLayout w:type="fixed"/>
        <w:tblLook w:val="04A0"/>
      </w:tblPr>
      <w:tblGrid>
        <w:gridCol w:w="2126"/>
        <w:gridCol w:w="1416"/>
        <w:gridCol w:w="704"/>
        <w:gridCol w:w="1627"/>
        <w:gridCol w:w="787"/>
        <w:gridCol w:w="1135"/>
        <w:gridCol w:w="707"/>
        <w:gridCol w:w="1145"/>
        <w:gridCol w:w="838"/>
      </w:tblGrid>
      <w:tr w:rsidR="00B60F7B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B60F7B" w:rsidRDefault="000F7F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="00B60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тыс. руб.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49841,8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42305,0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48072,7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50482,5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поступления, в т. ч.: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225703,2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165764,3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197040,7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196592,9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55707,9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47241,5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47241,5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47241,5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44627,6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25102,7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субвенции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125787,3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123280,6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 w:rsidP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123185,</w:t>
            </w:r>
            <w:r w:rsidR="00DE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иные межбюджетные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AF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0A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0A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5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Прочие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2AF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0A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0A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-2206,2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5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0A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-2206,2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16" w:rsidRDefault="000F7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5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</w:tr>
      <w:tr w:rsidR="000F7F16" w:rsidTr="000F7F1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275545,0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0F7F16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5D5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208069,3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245123,4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DE7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247075,4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16" w:rsidRDefault="00955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932864">
        <w:rPr>
          <w:rFonts w:ascii="Times New Roman" w:hAnsi="Times New Roman" w:cs="Times New Roman"/>
          <w:sz w:val="28"/>
          <w:szCs w:val="28"/>
        </w:rPr>
        <w:t>50482,5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32864">
        <w:rPr>
          <w:rFonts w:ascii="Times New Roman" w:hAnsi="Times New Roman" w:cs="Times New Roman"/>
          <w:sz w:val="28"/>
          <w:szCs w:val="28"/>
        </w:rPr>
        <w:t>20,4</w:t>
      </w:r>
      <w:r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932864">
        <w:rPr>
          <w:rFonts w:ascii="Times New Roman" w:hAnsi="Times New Roman" w:cs="Times New Roman"/>
          <w:sz w:val="28"/>
          <w:szCs w:val="28"/>
        </w:rPr>
        <w:t>196592,9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32864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 xml:space="preserve">%). Размер безвозмездных поступлений в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932864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32864">
        <w:rPr>
          <w:rFonts w:ascii="Times New Roman" w:hAnsi="Times New Roman" w:cs="Times New Roman"/>
          <w:sz w:val="28"/>
          <w:szCs w:val="28"/>
        </w:rPr>
        <w:t>29110,3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зачислены в размере </w:t>
      </w:r>
      <w:r w:rsidR="00932864">
        <w:rPr>
          <w:rFonts w:ascii="Times New Roman" w:hAnsi="Times New Roman" w:cs="Times New Roman"/>
          <w:sz w:val="28"/>
          <w:szCs w:val="28"/>
        </w:rPr>
        <w:t>35481,1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32864">
        <w:rPr>
          <w:rFonts w:ascii="Times New Roman" w:hAnsi="Times New Roman" w:cs="Times New Roman"/>
          <w:sz w:val="28"/>
          <w:szCs w:val="28"/>
        </w:rPr>
        <w:t>70,3</w:t>
      </w:r>
      <w:r>
        <w:rPr>
          <w:rFonts w:ascii="Times New Roman" w:hAnsi="Times New Roman" w:cs="Times New Roman"/>
          <w:sz w:val="28"/>
          <w:szCs w:val="28"/>
        </w:rPr>
        <w:t xml:space="preserve">% собственных доходов). Поступления налоговых доходов уменьшилось к уровню прошлого года на </w:t>
      </w:r>
      <w:r w:rsidR="009D2DED">
        <w:rPr>
          <w:rFonts w:ascii="Times New Roman" w:hAnsi="Times New Roman" w:cs="Times New Roman"/>
          <w:sz w:val="28"/>
          <w:szCs w:val="28"/>
        </w:rPr>
        <w:t>2240,8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F579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назначения по налоговым доходам исполнены на  10</w:t>
      </w:r>
      <w:r w:rsidR="007C57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,1 %, в том числе по видам налогов и сборов: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579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Style w:val="aa"/>
        <w:tblW w:w="10485" w:type="dxa"/>
        <w:tblInd w:w="-601" w:type="dxa"/>
        <w:tblLayout w:type="fixed"/>
        <w:tblLook w:val="04A0"/>
      </w:tblPr>
      <w:tblGrid>
        <w:gridCol w:w="2127"/>
        <w:gridCol w:w="1558"/>
        <w:gridCol w:w="1558"/>
        <w:gridCol w:w="1559"/>
        <w:gridCol w:w="1416"/>
        <w:gridCol w:w="1417"/>
        <w:gridCol w:w="850"/>
      </w:tblGrid>
      <w:tr w:rsidR="00B60F7B" w:rsidTr="009D2D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Уточненный план </w:t>
            </w:r>
            <w:r w:rsidR="001A071F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исполнения </w:t>
            </w:r>
            <w:r w:rsidR="001A071F">
              <w:rPr>
                <w:rFonts w:ascii="Times New Roman" w:hAnsi="Times New Roman" w:cs="Times New Roman"/>
                <w:b/>
              </w:rPr>
              <w:t>2015</w:t>
            </w:r>
            <w:r>
              <w:rPr>
                <w:rFonts w:ascii="Times New Roman" w:hAnsi="Times New Roman" w:cs="Times New Roman"/>
                <w:b/>
              </w:rPr>
              <w:t xml:space="preserve"> к </w:t>
            </w:r>
            <w:r w:rsidR="000F7F16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исполнения бюджета </w:t>
            </w:r>
            <w:r w:rsidR="001A071F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D2DED" w:rsidTr="009D2D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21250,6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9D2DED" w:rsidTr="009D2DED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7075,6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9D2DED" w:rsidTr="009D2DED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9D2DED" w:rsidTr="009D2D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6097.2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5827,2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9D2DED" w:rsidTr="009D2D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546.5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 w:rsidP="00AE5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AE5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2DED" w:rsidTr="009D2D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DED" w:rsidTr="009D2D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 w:rsidP="004D05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37721.9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9D2D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35481,1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ED" w:rsidRDefault="007C57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основным собственным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доходам является налог на доходы физических лиц (</w:t>
      </w:r>
      <w:r w:rsidR="00AE52CA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 xml:space="preserve">%), удельный вес по видам налогов </w:t>
      </w:r>
      <w:r w:rsidR="00AE52CA">
        <w:rPr>
          <w:rFonts w:ascii="Times New Roman" w:hAnsi="Times New Roman" w:cs="Times New Roman"/>
          <w:sz w:val="28"/>
          <w:szCs w:val="28"/>
        </w:rPr>
        <w:t>уменьшился по НДФЛ и возрос по уровню поступления акцизов по сравнению 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AE52CA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прошлого года.</w:t>
      </w:r>
    </w:p>
    <w:p w:rsidR="00B60F7B" w:rsidRDefault="00B60F7B" w:rsidP="00B60F7B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объеме </w:t>
      </w:r>
      <w:r w:rsidR="007D25A0">
        <w:rPr>
          <w:rFonts w:ascii="Times New Roman" w:hAnsi="Times New Roman" w:cs="Times New Roman"/>
          <w:sz w:val="28"/>
          <w:szCs w:val="28"/>
        </w:rPr>
        <w:t>15001,4</w:t>
      </w:r>
      <w:r>
        <w:rPr>
          <w:rFonts w:ascii="Times New Roman" w:hAnsi="Times New Roman" w:cs="Times New Roman"/>
          <w:sz w:val="28"/>
          <w:szCs w:val="28"/>
        </w:rPr>
        <w:t xml:space="preserve"> тыс. руб. и исполнены </w:t>
      </w:r>
      <w:r w:rsidR="0064018F">
        <w:rPr>
          <w:rFonts w:ascii="Times New Roman" w:hAnsi="Times New Roman" w:cs="Times New Roman"/>
          <w:sz w:val="28"/>
          <w:szCs w:val="28"/>
        </w:rPr>
        <w:t>139,5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 (10755,6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уб.).</w:t>
      </w:r>
    </w:p>
    <w:p w:rsidR="00B60F7B" w:rsidRDefault="00B60F7B" w:rsidP="00B60F7B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Годовой план уточнен в сторону увеличения с </w:t>
      </w:r>
      <w:r w:rsidR="0064018F">
        <w:rPr>
          <w:rFonts w:ascii="Times New Roman" w:hAnsi="Times New Roman" w:cs="Times New Roman"/>
          <w:sz w:val="28"/>
          <w:szCs w:val="28"/>
        </w:rPr>
        <w:t>10342,7</w:t>
      </w:r>
      <w:r>
        <w:rPr>
          <w:rFonts w:ascii="Times New Roman" w:hAnsi="Times New Roman" w:cs="Times New Roman"/>
          <w:sz w:val="28"/>
          <w:szCs w:val="28"/>
        </w:rPr>
        <w:t xml:space="preserve"> тыс. руб. до 10755,6 тыс. руб., т.е. на </w:t>
      </w:r>
      <w:r w:rsidR="00F579B9">
        <w:rPr>
          <w:rFonts w:ascii="Times New Roman" w:hAnsi="Times New Roman" w:cs="Times New Roman"/>
          <w:sz w:val="28"/>
          <w:szCs w:val="28"/>
        </w:rPr>
        <w:t>412,9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Процент исполнения и доля неналоговых доходов в общей сумме сложилась следующим образом:</w:t>
      </w:r>
    </w:p>
    <w:tbl>
      <w:tblPr>
        <w:tblStyle w:val="aa"/>
        <w:tblW w:w="10490" w:type="dxa"/>
        <w:tblInd w:w="-601" w:type="dxa"/>
        <w:tblLook w:val="04A0"/>
      </w:tblPr>
      <w:tblGrid>
        <w:gridCol w:w="3195"/>
        <w:gridCol w:w="1312"/>
        <w:gridCol w:w="1380"/>
        <w:gridCol w:w="1312"/>
        <w:gridCol w:w="1291"/>
        <w:gridCol w:w="1291"/>
        <w:gridCol w:w="709"/>
      </w:tblGrid>
      <w:tr w:rsidR="00B60F7B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 w:rsidP="007D2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Уточненный план </w:t>
            </w:r>
            <w:r w:rsidR="000F7F16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D25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</w:t>
            </w:r>
            <w:r w:rsidR="001A071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 </w:t>
            </w:r>
            <w:r w:rsidR="000F7F16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исполнения бюджета </w:t>
            </w:r>
            <w:r w:rsidR="001A071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Pr="00C918E4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8E4">
              <w:rPr>
                <w:rFonts w:ascii="Times New Roman" w:hAnsi="Times New Roman" w:cs="Times New Roman"/>
                <w:sz w:val="20"/>
                <w:szCs w:val="20"/>
              </w:rPr>
              <w:t>2983,2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Pr="00C918E4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8E4">
              <w:rPr>
                <w:rFonts w:ascii="Times New Roman" w:hAnsi="Times New Roman" w:cs="Times New Roman"/>
                <w:sz w:val="20"/>
                <w:szCs w:val="20"/>
              </w:rPr>
              <w:t>4769,1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Pr="00C918E4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8E4">
              <w:rPr>
                <w:rFonts w:ascii="Times New Roman" w:hAnsi="Times New Roman" w:cs="Times New Roman"/>
                <w:sz w:val="20"/>
                <w:szCs w:val="20"/>
              </w:rPr>
              <w:t>5969,5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Pr="00C918E4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Pr="00C918E4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Pr="00C918E4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арендная плата и поступление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 продажи права на заключение договоров аренды за земли до разграничения государственной собственности на землю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3002,1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 w:rsidP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="00640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доходы от сдачи в аренду имущества.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7D25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2342,8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-% от предоставления бюджетного кредита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6297,2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7086,3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7014,3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315.6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334.5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D25A0" w:rsidTr="00B60F7B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 w:rsidP="004D0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12119,9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7D2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10755,6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15001,4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64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A0" w:rsidRDefault="00C91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B60F7B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9B9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неналоговых доходов являются доходы от оказания платных услуг (</w:t>
      </w:r>
      <w:r w:rsidR="0064018F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>%)</w:t>
      </w:r>
      <w:r w:rsidR="0064018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(</w:t>
      </w:r>
      <w:r w:rsidR="0064018F">
        <w:rPr>
          <w:rFonts w:ascii="Times New Roman" w:hAnsi="Times New Roman" w:cs="Times New Roman"/>
          <w:sz w:val="28"/>
          <w:szCs w:val="28"/>
        </w:rPr>
        <w:t>39,8%</w:t>
      </w:r>
      <w:r>
        <w:rPr>
          <w:rFonts w:ascii="Times New Roman" w:hAnsi="Times New Roman" w:cs="Times New Roman"/>
          <w:sz w:val="28"/>
          <w:szCs w:val="28"/>
        </w:rPr>
        <w:t>)</w:t>
      </w:r>
      <w:r w:rsidR="0064018F">
        <w:rPr>
          <w:rFonts w:ascii="Times New Roman" w:hAnsi="Times New Roman" w:cs="Times New Roman"/>
          <w:sz w:val="28"/>
          <w:szCs w:val="28"/>
        </w:rPr>
        <w:t>.</w:t>
      </w:r>
    </w:p>
    <w:p w:rsidR="00B60F7B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>
        <w:rPr>
          <w:rFonts w:ascii="Times New Roman" w:hAnsi="Times New Roman" w:cs="Times New Roman"/>
          <w:sz w:val="28"/>
          <w:szCs w:val="28"/>
        </w:rPr>
        <w:t>увеличились на 31652,7 тыс. руб. к уровню прошлого года и составили 225703,2 тыс. руб., в том числе по видам:</w:t>
      </w:r>
    </w:p>
    <w:p w:rsidR="00B60F7B" w:rsidRDefault="00B60F7B" w:rsidP="00B60F7B">
      <w:pPr>
        <w:tabs>
          <w:tab w:val="left" w:pos="65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Style w:val="aa"/>
        <w:tblW w:w="10490" w:type="dxa"/>
        <w:tblInd w:w="-601" w:type="dxa"/>
        <w:tblLook w:val="04A0"/>
      </w:tblPr>
      <w:tblGrid>
        <w:gridCol w:w="1991"/>
        <w:gridCol w:w="1531"/>
        <w:gridCol w:w="1613"/>
        <w:gridCol w:w="1531"/>
        <w:gridCol w:w="1482"/>
        <w:gridCol w:w="1586"/>
        <w:gridCol w:w="756"/>
      </w:tblGrid>
      <w:tr w:rsidR="00B60F7B" w:rsidTr="00E67138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исполнение</w:t>
            </w:r>
          </w:p>
          <w:p w:rsidR="00B60F7B" w:rsidRDefault="001A071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B60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исполнение</w:t>
            </w:r>
          </w:p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B60F7B" w:rsidRDefault="00B60F7B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67138" w:rsidTr="00E67138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 w:rsidP="004D059B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55707,9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 w:rsidP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79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 w:rsidP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79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Pr="00F579B9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67138" w:rsidTr="00E67138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 w:rsidP="004D059B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125787,3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123280,6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123185,1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Pr="00F579B9" w:rsidRDefault="007916F8" w:rsidP="00FA1914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FA1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7138" w:rsidTr="00E67138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 w:rsidP="004D059B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44627,6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25102,7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Pr="00F579B9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67138" w:rsidTr="00E67138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 прочие межбюджетные трансферты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8" w:rsidRDefault="00E67138" w:rsidP="004D059B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FA1914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FA1914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FA1914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Pr="00F579B9" w:rsidRDefault="007916F8" w:rsidP="00FA1914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A1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7138" w:rsidTr="00E67138">
        <w:trPr>
          <w:trHeight w:val="87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 w:rsidP="00F579B9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остатков  прошлых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 w:rsidP="004D059B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-2206,2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-2206,2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-209,5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Pr="00F579B9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E67138" w:rsidTr="00E67138"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E67138" w:rsidP="004D059B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225703,2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7916F8">
              <w:rPr>
                <w:rFonts w:ascii="Times New Roman" w:hAnsi="Times New Roman" w:cs="Times New Roman"/>
                <w:b/>
                <w:sz w:val="24"/>
                <w:szCs w:val="24"/>
              </w:rPr>
              <w:t>040,7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DB0E42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196592,9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8" w:rsidRPr="00F579B9" w:rsidRDefault="007916F8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60F7B" w:rsidRDefault="00B60F7B" w:rsidP="00B60F7B">
      <w:pPr>
        <w:tabs>
          <w:tab w:val="left" w:pos="655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60F7B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бюджета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Куркинский район</w:t>
      </w:r>
      <w:r w:rsidR="00DF4724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0F7B" w:rsidRDefault="00B60F7B" w:rsidP="00B60F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F7B" w:rsidRDefault="00B60F7B" w:rsidP="00B60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Куркинский район осуществлялось через казначейскую систему.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на 91,8% и составили 282299,1 тыс. руб., в том числе по статьям экономической классификации: </w:t>
      </w:r>
    </w:p>
    <w:tbl>
      <w:tblPr>
        <w:tblStyle w:val="aa"/>
        <w:tblW w:w="9930" w:type="dxa"/>
        <w:tblInd w:w="-318" w:type="dxa"/>
        <w:tblLayout w:type="fixed"/>
        <w:tblLook w:val="04A0"/>
      </w:tblPr>
      <w:tblGrid>
        <w:gridCol w:w="2411"/>
        <w:gridCol w:w="709"/>
        <w:gridCol w:w="1417"/>
        <w:gridCol w:w="1134"/>
        <w:gridCol w:w="1418"/>
        <w:gridCol w:w="992"/>
        <w:gridCol w:w="1849"/>
      </w:tblGrid>
      <w:tr w:rsidR="002A1E68" w:rsidTr="002A1E68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2014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2015 года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год к 2014 году, %</w:t>
            </w:r>
          </w:p>
        </w:tc>
      </w:tr>
      <w:tr w:rsidR="002A1E68" w:rsidTr="004168FD">
        <w:trPr>
          <w:trHeight w:val="38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68" w:rsidRDefault="002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2A1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118153,4</w:t>
            </w:r>
          </w:p>
          <w:p w:rsidR="00D56D5E" w:rsidRDefault="00D56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 w:rsidP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искл.гос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A6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Пенсии, пособия,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 w:rsidP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2A1E68" w:rsidTr="002A1E6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2A1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2A1E68" w:rsidP="004D0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256405,2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68" w:rsidRDefault="004E1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68" w:rsidRDefault="00EC6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</w:p>
        </w:tc>
      </w:tr>
    </w:tbl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0F7B" w:rsidRDefault="00B60F7B" w:rsidP="00B60F7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(</w:t>
      </w:r>
      <w:r w:rsidR="00EC61FA">
        <w:rPr>
          <w:rFonts w:ascii="Times New Roman" w:hAnsi="Times New Roman" w:cs="Times New Roman"/>
          <w:sz w:val="28"/>
          <w:szCs w:val="28"/>
        </w:rPr>
        <w:t>59,1</w:t>
      </w:r>
      <w:r>
        <w:rPr>
          <w:rFonts w:ascii="Times New Roman" w:hAnsi="Times New Roman" w:cs="Times New Roman"/>
          <w:sz w:val="28"/>
          <w:szCs w:val="28"/>
        </w:rPr>
        <w:t xml:space="preserve">%) в расходах бюджета муниципального образования Куркинский район составляют расходы на оплату труда с начислениями,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данный показатель составил </w:t>
      </w:r>
      <w:r w:rsidR="00EC61FA">
        <w:rPr>
          <w:rFonts w:ascii="Times New Roman" w:hAnsi="Times New Roman" w:cs="Times New Roman"/>
          <w:sz w:val="28"/>
          <w:szCs w:val="28"/>
        </w:rPr>
        <w:t>151612,3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60F7B" w:rsidRDefault="00B60F7B" w:rsidP="00B60F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ассигнования на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10490" w:type="dxa"/>
        <w:tblInd w:w="-601" w:type="dxa"/>
        <w:tblLook w:val="04A0"/>
      </w:tblPr>
      <w:tblGrid>
        <w:gridCol w:w="2897"/>
        <w:gridCol w:w="969"/>
        <w:gridCol w:w="1269"/>
        <w:gridCol w:w="917"/>
        <w:gridCol w:w="1613"/>
        <w:gridCol w:w="1157"/>
        <w:gridCol w:w="1668"/>
      </w:tblGrid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+9328,1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+66,4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+147,8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 w:rsidP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E8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+140,3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+5493,4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 w:rsidP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149971,5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 w:rsidP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165065,</w:t>
            </w:r>
            <w:r w:rsidR="00BF5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+15093,7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 w:rsidP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+3613,2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+6762,1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-67,2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 w:rsidP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4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+380,0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4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-40,0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РФ и муниципальных образований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+8882,2</w:t>
            </w:r>
          </w:p>
        </w:tc>
      </w:tr>
      <w:tr w:rsidR="00B60F7B" w:rsidTr="00B60F7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EC61FA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210469,3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574E8F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260169,3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F5899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+49700,0</w:t>
            </w:r>
          </w:p>
        </w:tc>
      </w:tr>
    </w:tbl>
    <w:p w:rsidR="00B60F7B" w:rsidRDefault="00B60F7B" w:rsidP="00B60F7B">
      <w:pPr>
        <w:tabs>
          <w:tab w:val="left" w:pos="16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социальную сферу (образование, культур</w:t>
      </w:r>
      <w:r w:rsidR="00A21D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социальная политика) направлено </w:t>
      </w:r>
      <w:r w:rsidR="00A21D4F">
        <w:rPr>
          <w:rFonts w:ascii="Times New Roman" w:hAnsi="Times New Roman" w:cs="Times New Roman"/>
          <w:sz w:val="28"/>
          <w:szCs w:val="28"/>
        </w:rPr>
        <w:t>75,3</w:t>
      </w:r>
      <w:r>
        <w:rPr>
          <w:rFonts w:ascii="Times New Roman" w:hAnsi="Times New Roman" w:cs="Times New Roman"/>
          <w:sz w:val="28"/>
          <w:szCs w:val="28"/>
        </w:rPr>
        <w:t xml:space="preserve">% общей суммы расходов или </w:t>
      </w:r>
      <w:r w:rsidR="00A21D4F">
        <w:rPr>
          <w:rFonts w:ascii="Times New Roman" w:hAnsi="Times New Roman" w:cs="Times New Roman"/>
          <w:sz w:val="28"/>
          <w:szCs w:val="28"/>
        </w:rPr>
        <w:t>195668,5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A21D4F">
        <w:rPr>
          <w:rFonts w:ascii="Times New Roman" w:hAnsi="Times New Roman" w:cs="Times New Roman"/>
          <w:sz w:val="28"/>
          <w:szCs w:val="28"/>
        </w:rPr>
        <w:t>15029,6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1D4F">
        <w:rPr>
          <w:rFonts w:ascii="Times New Roman" w:hAnsi="Times New Roman" w:cs="Times New Roman"/>
          <w:sz w:val="28"/>
          <w:szCs w:val="28"/>
        </w:rPr>
        <w:t>. меньше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21D4F">
        <w:rPr>
          <w:rFonts w:ascii="Times New Roman" w:hAnsi="Times New Roman" w:cs="Times New Roman"/>
          <w:sz w:val="28"/>
          <w:szCs w:val="28"/>
        </w:rPr>
        <w:t>92,9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A21D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0F7B" w:rsidRDefault="00B60F7B" w:rsidP="00B60F7B">
      <w:pPr>
        <w:tabs>
          <w:tab w:val="left" w:pos="16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по разделам расходов в общей сумме расходов и размер отклонений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a"/>
        <w:tblW w:w="10485" w:type="dxa"/>
        <w:tblInd w:w="-601" w:type="dxa"/>
        <w:tblLayout w:type="fixed"/>
        <w:tblLook w:val="04A0"/>
      </w:tblPr>
      <w:tblGrid>
        <w:gridCol w:w="3259"/>
        <w:gridCol w:w="992"/>
        <w:gridCol w:w="1558"/>
        <w:gridCol w:w="851"/>
        <w:gridCol w:w="1558"/>
        <w:gridCol w:w="851"/>
        <w:gridCol w:w="1416"/>
      </w:tblGrid>
      <w:tr w:rsidR="00B60F7B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 «+»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</w:t>
            </w:r>
          </w:p>
          <w:p w:rsidR="00B60F7B" w:rsidRDefault="001A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B60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к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="00B60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E229F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+2428,8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E229F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+126,0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E229F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-590,8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E229F0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-14940,7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-11637,2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-3070,6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+1131,5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+1679,9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-401,9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+328,9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-70,2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-288,4</w:t>
            </w:r>
          </w:p>
        </w:tc>
      </w:tr>
      <w:tr w:rsidR="00A21D4F" w:rsidTr="00A21D4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4F" w:rsidRDefault="00A21D4F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A21D4F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256405,2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FC5EBD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4F" w:rsidRDefault="002402CC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-25893,9</w:t>
            </w:r>
          </w:p>
        </w:tc>
      </w:tr>
    </w:tbl>
    <w:p w:rsidR="00B60F7B" w:rsidRDefault="00B60F7B" w:rsidP="00B60F7B">
      <w:pPr>
        <w:tabs>
          <w:tab w:val="left" w:pos="1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2402CC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 общая сумма расходов </w:t>
      </w:r>
      <w:r w:rsidR="002402CC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402CC">
        <w:rPr>
          <w:rFonts w:ascii="Times New Roman" w:hAnsi="Times New Roman" w:cs="Times New Roman"/>
          <w:sz w:val="28"/>
          <w:szCs w:val="28"/>
        </w:rPr>
        <w:t>25893,9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40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Наблюдается рост расходов по разделам:</w:t>
      </w:r>
    </w:p>
    <w:p w:rsidR="00B60F7B" w:rsidRDefault="00B60F7B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«Общегосударственные вопросы»,</w:t>
      </w:r>
    </w:p>
    <w:p w:rsidR="002402CC" w:rsidRDefault="002402CC" w:rsidP="0024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оборона»,</w:t>
      </w:r>
    </w:p>
    <w:p w:rsidR="002402CC" w:rsidRDefault="002402CC" w:rsidP="0024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«Культура, кинематография»,</w:t>
      </w:r>
    </w:p>
    <w:p w:rsidR="00B60F7B" w:rsidRDefault="00B60F7B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-«Средства массовой информации»,</w:t>
      </w:r>
    </w:p>
    <w:p w:rsidR="002402CC" w:rsidRDefault="002402CC" w:rsidP="0024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«Социальная политика».</w:t>
      </w:r>
    </w:p>
    <w:p w:rsidR="00B60F7B" w:rsidRDefault="00B60F7B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тоже время произошло снижение расходов по разделам:</w:t>
      </w:r>
    </w:p>
    <w:p w:rsidR="002402CC" w:rsidRDefault="002402CC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«Национальная безопасность и правоохранительная деятельность»,</w:t>
      </w:r>
    </w:p>
    <w:p w:rsidR="002402CC" w:rsidRDefault="002402CC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-«Жилищно-коммунальное хозяйство»,</w:t>
      </w:r>
    </w:p>
    <w:p w:rsidR="002402CC" w:rsidRDefault="002402CC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«Образование»,</w:t>
      </w:r>
    </w:p>
    <w:p w:rsidR="002402CC" w:rsidRDefault="002402CC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«Физическая культура и спорт»,</w:t>
      </w:r>
    </w:p>
    <w:p w:rsidR="002402CC" w:rsidRDefault="002402CC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«Национальная экономика»,</w:t>
      </w:r>
    </w:p>
    <w:p w:rsidR="002402CC" w:rsidRDefault="002402CC" w:rsidP="002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-«Обслуживание муниципального долга»,</w:t>
      </w:r>
    </w:p>
    <w:p w:rsidR="00B60F7B" w:rsidRDefault="00B60F7B" w:rsidP="00B60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-«Межбюджетные трансферты общего характера бюджетам субъектов Российской Федерац</w:t>
      </w:r>
      <w:r w:rsidR="002402CC">
        <w:rPr>
          <w:rFonts w:ascii="Times New Roman" w:hAnsi="Times New Roman" w:cs="Times New Roman"/>
          <w:sz w:val="28"/>
          <w:szCs w:val="28"/>
        </w:rPr>
        <w:t>ии и муниципальных образований».</w:t>
      </w:r>
    </w:p>
    <w:p w:rsidR="00B60F7B" w:rsidRDefault="00B60F7B" w:rsidP="00B6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Анализ исполнения расходов по разделам бюджетной классификации.</w:t>
      </w:r>
    </w:p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расходы составили 30330,1тыс. руб. или 84,0% уточненных плановых назначений:</w:t>
      </w:r>
    </w:p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01" w:type="dxa"/>
        <w:tblInd w:w="-34" w:type="dxa"/>
        <w:tblLayout w:type="fixed"/>
        <w:tblLook w:val="04A0"/>
      </w:tblPr>
      <w:tblGrid>
        <w:gridCol w:w="2368"/>
        <w:gridCol w:w="1015"/>
        <w:gridCol w:w="1721"/>
        <w:gridCol w:w="1660"/>
        <w:gridCol w:w="1522"/>
        <w:gridCol w:w="1015"/>
      </w:tblGrid>
      <w:tr w:rsidR="00157D6E" w:rsidTr="00F77925">
        <w:trPr>
          <w:trHeight w:val="124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6E" w:rsidRDefault="00157D6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2014 года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2015 года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2015 г к 2014 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57D6E" w:rsidTr="00157D6E">
        <w:trPr>
          <w:trHeight w:val="86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19182,8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F77925" w:rsidP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19092,</w:t>
            </w:r>
            <w:r w:rsidR="00842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F77925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157D6E" w:rsidTr="00157D6E">
        <w:trPr>
          <w:trHeight w:val="27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F77925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57D6E" w:rsidTr="00157D6E">
        <w:trPr>
          <w:trHeight w:val="55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6E" w:rsidTr="00157D6E">
        <w:trPr>
          <w:trHeight w:val="56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157D6E" w:rsidTr="00157D6E">
        <w:trPr>
          <w:trHeight w:val="84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57D6E" w:rsidTr="00157D6E">
        <w:trPr>
          <w:trHeight w:val="55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2361,9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57D6E" w:rsidTr="00157D6E">
        <w:trPr>
          <w:trHeight w:val="27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EB23D3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57D6E" w:rsidTr="00157D6E">
        <w:trPr>
          <w:trHeight w:val="111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5594,7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157D6E" w:rsidTr="00157D6E">
        <w:trPr>
          <w:trHeight w:val="113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157D6E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6E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A5C16" w:rsidTr="00157D6E">
        <w:trPr>
          <w:trHeight w:val="29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16" w:rsidRDefault="004A5C1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4A5C16" w:rsidP="004A5C16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30330,1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Pr="004A5C16" w:rsidRDefault="004A5C16" w:rsidP="004A5C16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16">
              <w:rPr>
                <w:rFonts w:ascii="Times New Roman" w:hAnsi="Times New Roman" w:cs="Times New Roman"/>
                <w:b/>
                <w:sz w:val="24"/>
                <w:szCs w:val="24"/>
              </w:rPr>
              <w:t>32758,9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C16" w:rsidRDefault="008427F0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60F7B" w:rsidRDefault="00B60F7B" w:rsidP="00B6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структуре по данному разделу наибольший удельный вес составляют расходы:</w:t>
      </w:r>
    </w:p>
    <w:p w:rsidR="00B60F7B" w:rsidRDefault="00B60F7B" w:rsidP="00B6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оплате труда с начислениями –</w:t>
      </w:r>
      <w:r w:rsidR="00F41E65" w:rsidRPr="00F41E65">
        <w:rPr>
          <w:rFonts w:ascii="Times New Roman" w:hAnsi="Times New Roman" w:cs="Times New Roman"/>
          <w:sz w:val="28"/>
          <w:szCs w:val="28"/>
        </w:rPr>
        <w:t>19092,4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F41E65">
        <w:rPr>
          <w:rFonts w:ascii="Times New Roman" w:hAnsi="Times New Roman" w:cs="Times New Roman"/>
          <w:sz w:val="28"/>
          <w:szCs w:val="28"/>
        </w:rPr>
        <w:t>58,3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60F7B" w:rsidRDefault="00B60F7B" w:rsidP="00B6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–</w:t>
      </w:r>
      <w:r w:rsidR="00F41E65">
        <w:rPr>
          <w:rFonts w:ascii="Times New Roman" w:hAnsi="Times New Roman" w:cs="Times New Roman"/>
          <w:sz w:val="28"/>
          <w:szCs w:val="28"/>
        </w:rPr>
        <w:t xml:space="preserve">2753,9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F41E65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B60F7B" w:rsidRDefault="00B60F7B" w:rsidP="00B60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увеличение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средств–</w:t>
      </w:r>
      <w:r w:rsidR="00F41E65">
        <w:rPr>
          <w:rFonts w:ascii="Times New Roman" w:hAnsi="Times New Roman" w:cs="Times New Roman"/>
          <w:sz w:val="28"/>
          <w:szCs w:val="28"/>
        </w:rPr>
        <w:t xml:space="preserve">5594,7 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F41E6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Расходы на оплату труда в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F41E65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F41E65">
        <w:rPr>
          <w:rFonts w:ascii="Times New Roman" w:hAnsi="Times New Roman" w:cs="Times New Roman"/>
          <w:sz w:val="28"/>
          <w:szCs w:val="28"/>
        </w:rPr>
        <w:t>90,4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F41E65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846EC" w:rsidRDefault="000846EC" w:rsidP="000846E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на содержание органов местного самоуправления соответствуют утвержденным нормативам.</w:t>
      </w:r>
    </w:p>
    <w:p w:rsidR="000846EC" w:rsidRDefault="000846EC" w:rsidP="00B60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F41E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на осуществление первичного воинского учета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B05E60">
        <w:rPr>
          <w:rFonts w:ascii="Times New Roman" w:hAnsi="Times New Roman" w:cs="Times New Roman"/>
          <w:sz w:val="28"/>
          <w:szCs w:val="28"/>
        </w:rPr>
        <w:t>532,9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100,0 % к уточненному  плану.</w:t>
      </w:r>
    </w:p>
    <w:p w:rsidR="00B60F7B" w:rsidRDefault="00B60F7B" w:rsidP="00B60F7B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B05E60">
        <w:rPr>
          <w:rFonts w:ascii="Times New Roman" w:hAnsi="Times New Roman" w:cs="Times New Roman"/>
          <w:sz w:val="28"/>
          <w:szCs w:val="28"/>
        </w:rPr>
        <w:t>2433,7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99,</w:t>
      </w:r>
      <w:r w:rsidR="00B05E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плана.</w:t>
      </w:r>
    </w:p>
    <w:p w:rsidR="00B60F7B" w:rsidRDefault="00B60F7B" w:rsidP="00B60F7B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B05E60">
        <w:rPr>
          <w:rFonts w:ascii="Times New Roman" w:hAnsi="Times New Roman" w:cs="Times New Roman"/>
          <w:sz w:val="28"/>
          <w:szCs w:val="28"/>
        </w:rPr>
        <w:t>5424,9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A6321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>% к уточненному плану года, в том числе:</w:t>
      </w:r>
    </w:p>
    <w:p w:rsidR="00B60F7B" w:rsidRDefault="00B60F7B" w:rsidP="00B60F7B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расходы на организацию мероприятий по развитию сельского хозяйства  на территории муниципального образования Куркинский район составили </w:t>
      </w:r>
      <w:r w:rsidR="008A6321">
        <w:rPr>
          <w:rFonts w:ascii="Times New Roman" w:hAnsi="Times New Roman" w:cs="Times New Roman"/>
          <w:sz w:val="28"/>
          <w:szCs w:val="28"/>
        </w:rPr>
        <w:t>1110,0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A6321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% к уточненному плану); </w:t>
      </w:r>
    </w:p>
    <w:p w:rsidR="00B60F7B" w:rsidRDefault="00B60F7B" w:rsidP="00B60F7B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8A6321">
        <w:rPr>
          <w:rFonts w:ascii="Times New Roman" w:hAnsi="Times New Roman" w:cs="Times New Roman"/>
          <w:sz w:val="28"/>
          <w:szCs w:val="28"/>
        </w:rPr>
        <w:t>расходы по содержанию имущества автодорог (муниципальный дорожный фонд) 3670,5 тыс. рублей.</w:t>
      </w:r>
      <w:r>
        <w:rPr>
          <w:rFonts w:ascii="Times New Roman" w:hAnsi="Times New Roman" w:cs="Times New Roman"/>
          <w:sz w:val="28"/>
          <w:szCs w:val="28"/>
        </w:rPr>
        <w:t>(8</w:t>
      </w:r>
      <w:r w:rsidR="008A6321">
        <w:rPr>
          <w:rFonts w:ascii="Times New Roman" w:hAnsi="Times New Roman" w:cs="Times New Roman"/>
          <w:sz w:val="28"/>
          <w:szCs w:val="28"/>
        </w:rPr>
        <w:t>2</w:t>
      </w:r>
      <w:r w:rsidR="00F40919">
        <w:rPr>
          <w:rFonts w:ascii="Times New Roman" w:hAnsi="Times New Roman" w:cs="Times New Roman"/>
          <w:sz w:val="28"/>
          <w:szCs w:val="28"/>
        </w:rPr>
        <w:t>,0% к уточненному плану).</w:t>
      </w:r>
    </w:p>
    <w:p w:rsidR="00B60F7B" w:rsidRDefault="00B60F7B" w:rsidP="00B60F7B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F7B" w:rsidRDefault="00B60F7B" w:rsidP="00B60F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477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7733B">
        <w:rPr>
          <w:rFonts w:ascii="Times New Roman" w:hAnsi="Times New Roman" w:cs="Times New Roman"/>
          <w:sz w:val="28"/>
          <w:szCs w:val="28"/>
        </w:rPr>
        <w:t xml:space="preserve">7651,9 </w:t>
      </w:r>
      <w:r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47733B">
        <w:rPr>
          <w:rFonts w:ascii="Times New Roman" w:hAnsi="Times New Roman" w:cs="Times New Roman"/>
          <w:sz w:val="28"/>
          <w:szCs w:val="28"/>
        </w:rPr>
        <w:t xml:space="preserve">  100,0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7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7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уточненному плану.</w:t>
      </w:r>
    </w:p>
    <w:p w:rsidR="00B60F7B" w:rsidRDefault="00B60F7B" w:rsidP="00B60F7B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a"/>
        <w:tblW w:w="10490" w:type="dxa"/>
        <w:tblInd w:w="-601" w:type="dxa"/>
        <w:tblLook w:val="04A0"/>
      </w:tblPr>
      <w:tblGrid>
        <w:gridCol w:w="1871"/>
        <w:gridCol w:w="1531"/>
        <w:gridCol w:w="1613"/>
        <w:gridCol w:w="1531"/>
        <w:gridCol w:w="1505"/>
        <w:gridCol w:w="1505"/>
        <w:gridCol w:w="934"/>
      </w:tblGrid>
      <w:tr w:rsidR="00B60F7B" w:rsidTr="00B60F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бюджета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7733B" w:rsidTr="00B60F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B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47733B" w:rsidTr="00B60F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B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18260,3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47733B" w:rsidTr="00B60F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 w:rsidP="00BD4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19289,1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7651,9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3B" w:rsidRDefault="004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жилищное хозяйство</w:t>
      </w:r>
      <w:r w:rsidR="004773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исполнены </w:t>
      </w:r>
      <w:r w:rsidR="0047733B">
        <w:rPr>
          <w:rFonts w:ascii="Times New Roman" w:hAnsi="Times New Roman" w:cs="Times New Roman"/>
          <w:sz w:val="28"/>
          <w:szCs w:val="28"/>
        </w:rPr>
        <w:t>на сумму 420,6 тыс. рублей, что к уровню прошлого года составляет 40,9%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F7B" w:rsidRDefault="00B60F7B" w:rsidP="00B60F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подразделу коммунальное хозяйство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исполнены на </w:t>
      </w:r>
      <w:r w:rsidR="0047733B">
        <w:rPr>
          <w:rFonts w:ascii="Times New Roman" w:hAnsi="Times New Roman" w:cs="Times New Roman"/>
          <w:sz w:val="28"/>
          <w:szCs w:val="28"/>
        </w:rPr>
        <w:t xml:space="preserve"> сумму 7231,3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7733B">
        <w:rPr>
          <w:rFonts w:ascii="Times New Roman" w:hAnsi="Times New Roman" w:cs="Times New Roman"/>
          <w:sz w:val="28"/>
          <w:szCs w:val="28"/>
        </w:rPr>
        <w:t xml:space="preserve">лей  и к уровню прошлого года составили </w:t>
      </w:r>
      <w:r w:rsidR="005E3702">
        <w:rPr>
          <w:rFonts w:ascii="Times New Roman" w:hAnsi="Times New Roman" w:cs="Times New Roman"/>
          <w:sz w:val="28"/>
          <w:szCs w:val="28"/>
        </w:rPr>
        <w:t>39,6%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за проверяемый период составили </w:t>
      </w:r>
      <w:r w:rsidR="005E3702">
        <w:rPr>
          <w:rFonts w:ascii="Times New Roman" w:hAnsi="Times New Roman" w:cs="Times New Roman"/>
          <w:sz w:val="28"/>
          <w:szCs w:val="28"/>
        </w:rPr>
        <w:t>164594,8</w:t>
      </w:r>
      <w:r>
        <w:rPr>
          <w:rFonts w:ascii="Times New Roman" w:hAnsi="Times New Roman" w:cs="Times New Roman"/>
          <w:sz w:val="28"/>
          <w:szCs w:val="28"/>
        </w:rPr>
        <w:t xml:space="preserve">  тыс. руб. или 99,</w:t>
      </w:r>
      <w:r w:rsidR="005E37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плановых назначений, из них:</w:t>
      </w:r>
    </w:p>
    <w:p w:rsidR="00B60F7B" w:rsidRDefault="00B60F7B" w:rsidP="00B60F7B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80" w:type="dxa"/>
        <w:tblInd w:w="-34" w:type="dxa"/>
        <w:tblLayout w:type="fixed"/>
        <w:tblLook w:val="04A0"/>
      </w:tblPr>
      <w:tblGrid>
        <w:gridCol w:w="1703"/>
        <w:gridCol w:w="1559"/>
        <w:gridCol w:w="1701"/>
        <w:gridCol w:w="1559"/>
        <w:gridCol w:w="1287"/>
        <w:gridCol w:w="1278"/>
        <w:gridCol w:w="993"/>
      </w:tblGrid>
      <w:tr w:rsidR="00B60F7B" w:rsidTr="005E3702">
        <w:trPr>
          <w:trHeight w:val="13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Уточненный план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исполнения бюджета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E3702" w:rsidTr="005E3702">
        <w:trPr>
          <w:trHeight w:val="55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 w:rsidP="00B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E3702" w:rsidTr="005E3702">
        <w:trPr>
          <w:trHeight w:val="55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 w:rsidP="00B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135801,4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  <w:tr w:rsidR="005E3702" w:rsidTr="005E3702">
        <w:trPr>
          <w:trHeight w:val="110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 w:rsidP="00B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3702" w:rsidTr="005E3702">
        <w:trPr>
          <w:trHeight w:val="110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 w:rsidP="00BD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7754,7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E3702" w:rsidTr="005E3702">
        <w:trPr>
          <w:trHeight w:val="27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 w:rsidP="00BD4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167665,4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5E3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165065,2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164594,8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02" w:rsidRDefault="00BF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дошкольное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BF256A">
        <w:rPr>
          <w:rFonts w:ascii="Times New Roman" w:hAnsi="Times New Roman" w:cs="Times New Roman"/>
          <w:sz w:val="28"/>
          <w:szCs w:val="28"/>
        </w:rPr>
        <w:t>19737,8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256A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 и </w:t>
      </w:r>
      <w:r w:rsidR="00BF256A">
        <w:rPr>
          <w:rFonts w:ascii="Times New Roman" w:hAnsi="Times New Roman" w:cs="Times New Roman"/>
          <w:sz w:val="28"/>
          <w:szCs w:val="28"/>
        </w:rPr>
        <w:t>87,3</w:t>
      </w:r>
      <w:r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BF256A">
        <w:rPr>
          <w:rFonts w:ascii="Times New Roman" w:hAnsi="Times New Roman" w:cs="Times New Roman"/>
          <w:sz w:val="28"/>
          <w:szCs w:val="28"/>
        </w:rPr>
        <w:t>135801,4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256A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 и </w:t>
      </w:r>
      <w:r w:rsidR="00BF256A">
        <w:rPr>
          <w:rFonts w:ascii="Times New Roman" w:hAnsi="Times New Roman" w:cs="Times New Roman"/>
          <w:sz w:val="28"/>
          <w:szCs w:val="28"/>
        </w:rPr>
        <w:t>100,3</w:t>
      </w:r>
      <w:r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B60F7B" w:rsidRDefault="00B60F7B" w:rsidP="00B60F7B">
      <w:pPr>
        <w:tabs>
          <w:tab w:val="left" w:pos="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  <w:u w:val="single"/>
        </w:rPr>
        <w:t>молодежная политика и оздоровление детей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BF256A">
        <w:rPr>
          <w:rFonts w:ascii="Times New Roman" w:hAnsi="Times New Roman" w:cs="Times New Roman"/>
          <w:sz w:val="28"/>
          <w:szCs w:val="28"/>
        </w:rPr>
        <w:t>1300,8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256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  <w:r w:rsidR="00BF256A">
        <w:rPr>
          <w:rFonts w:ascii="Times New Roman" w:hAnsi="Times New Roman" w:cs="Times New Roman"/>
          <w:sz w:val="28"/>
          <w:szCs w:val="28"/>
        </w:rPr>
        <w:t xml:space="preserve"> К уровню прошлого года- 66,9%.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F7B" w:rsidRDefault="00B60F7B" w:rsidP="00B60F7B">
      <w:pPr>
        <w:tabs>
          <w:tab w:val="left" w:pos="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подразделу другие вопросы в области образования расходы составили –</w:t>
      </w:r>
      <w:r w:rsidR="00BF256A">
        <w:rPr>
          <w:rFonts w:ascii="Times New Roman" w:hAnsi="Times New Roman" w:cs="Times New Roman"/>
          <w:sz w:val="28"/>
          <w:szCs w:val="28"/>
        </w:rPr>
        <w:t>7754,7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F256A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  и </w:t>
      </w:r>
      <w:r w:rsidR="00BF256A">
        <w:rPr>
          <w:rFonts w:ascii="Times New Roman" w:hAnsi="Times New Roman" w:cs="Times New Roman"/>
          <w:sz w:val="28"/>
          <w:szCs w:val="28"/>
        </w:rPr>
        <w:t>100,9</w:t>
      </w:r>
      <w:r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B60F7B" w:rsidRDefault="00B60F7B" w:rsidP="00B60F7B">
      <w:pPr>
        <w:tabs>
          <w:tab w:val="left" w:pos="9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D60C1">
        <w:rPr>
          <w:rFonts w:ascii="Times New Roman" w:hAnsi="Times New Roman" w:cs="Times New Roman"/>
          <w:sz w:val="28"/>
          <w:szCs w:val="28"/>
        </w:rPr>
        <w:t>17420,3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(</w:t>
      </w:r>
      <w:r w:rsidR="005D60C1">
        <w:rPr>
          <w:rFonts w:ascii="Times New Roman" w:hAnsi="Times New Roman" w:cs="Times New Roman"/>
          <w:sz w:val="28"/>
          <w:szCs w:val="28"/>
        </w:rPr>
        <w:t>99,3</w:t>
      </w:r>
      <w:r>
        <w:rPr>
          <w:rFonts w:ascii="Times New Roman" w:hAnsi="Times New Roman" w:cs="Times New Roman"/>
          <w:sz w:val="28"/>
          <w:szCs w:val="28"/>
        </w:rPr>
        <w:t xml:space="preserve"> %  уточненного плана).  </w:t>
      </w:r>
      <w:r w:rsidR="005D60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уровню прошлого года составило </w:t>
      </w:r>
      <w:r w:rsidR="005D60C1">
        <w:rPr>
          <w:rFonts w:ascii="Times New Roman" w:hAnsi="Times New Roman" w:cs="Times New Roman"/>
          <w:sz w:val="28"/>
          <w:szCs w:val="28"/>
        </w:rPr>
        <w:t>108,1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5D60C1">
        <w:rPr>
          <w:rFonts w:ascii="Times New Roman" w:hAnsi="Times New Roman" w:cs="Times New Roman"/>
          <w:sz w:val="28"/>
          <w:szCs w:val="28"/>
        </w:rPr>
        <w:t>12275,5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D60C1">
        <w:rPr>
          <w:rFonts w:ascii="Times New Roman" w:hAnsi="Times New Roman" w:cs="Times New Roman"/>
          <w:sz w:val="28"/>
          <w:szCs w:val="28"/>
        </w:rPr>
        <w:t>95,7</w:t>
      </w:r>
      <w:r>
        <w:rPr>
          <w:rFonts w:ascii="Times New Roman" w:hAnsi="Times New Roman" w:cs="Times New Roman"/>
          <w:sz w:val="28"/>
          <w:szCs w:val="28"/>
        </w:rPr>
        <w:t>% уточненного плана,</w:t>
      </w:r>
      <w:r w:rsidR="005D60C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0C1">
        <w:rPr>
          <w:rFonts w:ascii="Times New Roman" w:hAnsi="Times New Roman" w:cs="Times New Roman"/>
          <w:sz w:val="28"/>
          <w:szCs w:val="28"/>
        </w:rPr>
        <w:t>115,9</w:t>
      </w:r>
      <w:r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5D60C1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 и спорт» </w:t>
      </w:r>
      <w:r w:rsidRPr="005D60C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D60C1" w:rsidRPr="005D60C1">
        <w:rPr>
          <w:rFonts w:ascii="Times New Roman" w:hAnsi="Times New Roman" w:cs="Times New Roman"/>
          <w:sz w:val="28"/>
          <w:szCs w:val="28"/>
        </w:rPr>
        <w:t>225,3</w:t>
      </w:r>
      <w:r w:rsidRPr="005D60C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60C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плану).</w:t>
      </w:r>
    </w:p>
    <w:p w:rsidR="005D60C1" w:rsidRPr="005D60C1" w:rsidRDefault="005D60C1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C1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0C1">
        <w:rPr>
          <w:rFonts w:ascii="Times New Roman" w:hAnsi="Times New Roman" w:cs="Times New Roman"/>
          <w:sz w:val="28"/>
          <w:szCs w:val="28"/>
        </w:rPr>
        <w:t>получили за оказанные услуги</w:t>
      </w:r>
      <w:r>
        <w:rPr>
          <w:rFonts w:ascii="Times New Roman" w:hAnsi="Times New Roman" w:cs="Times New Roman"/>
          <w:sz w:val="28"/>
          <w:szCs w:val="28"/>
        </w:rPr>
        <w:t xml:space="preserve"> 773,2 тыс. рублей при плане 800,0 тыс. рублей.</w:t>
      </w:r>
    </w:p>
    <w:p w:rsidR="00B60F7B" w:rsidRDefault="005D60C1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F7B" w:rsidRPr="005D60C1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="00B60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израсходована сумма  557,0 тыс. рублей.</w:t>
      </w:r>
    </w:p>
    <w:p w:rsidR="00B60F7B" w:rsidRDefault="00B60F7B" w:rsidP="00B60F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573C47">
        <w:rPr>
          <w:rFonts w:ascii="Times New Roman" w:hAnsi="Times New Roman" w:cs="Times New Roman"/>
          <w:b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73C47">
        <w:rPr>
          <w:rFonts w:ascii="Times New Roman" w:hAnsi="Times New Roman" w:cs="Times New Roman"/>
          <w:sz w:val="28"/>
          <w:szCs w:val="28"/>
        </w:rPr>
        <w:t>11756,8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100,0 % к уточненному плану.</w:t>
      </w:r>
    </w:p>
    <w:p w:rsidR="00B60F7B" w:rsidRDefault="00B60F7B" w:rsidP="00B60F7B">
      <w:pPr>
        <w:tabs>
          <w:tab w:val="left" w:pos="1296"/>
          <w:tab w:val="left" w:pos="751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тыс. руб.</w:t>
      </w:r>
    </w:p>
    <w:tbl>
      <w:tblPr>
        <w:tblStyle w:val="aa"/>
        <w:tblW w:w="0" w:type="auto"/>
        <w:tblLook w:val="04A0"/>
      </w:tblPr>
      <w:tblGrid>
        <w:gridCol w:w="2376"/>
        <w:gridCol w:w="1788"/>
        <w:gridCol w:w="1846"/>
        <w:gridCol w:w="1759"/>
        <w:gridCol w:w="1802"/>
      </w:tblGrid>
      <w:tr w:rsidR="00B60F7B" w:rsidTr="00573C47">
        <w:trPr>
          <w:trHeight w:val="7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1A07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 уровню </w:t>
            </w:r>
            <w:r w:rsidR="000F7F16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в общей сумме(%)</w:t>
            </w:r>
          </w:p>
        </w:tc>
      </w:tr>
      <w:tr w:rsidR="00573C47" w:rsidTr="00573C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бюджетам субъектов РФ и МО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 w:rsidP="00BD4529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8449,6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73C47" w:rsidTr="00573C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 w:rsidP="00BD4529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BD4529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3C47" w:rsidTr="00573C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 w:rsidP="00BD4529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3307,2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573C47" w:rsidTr="00573C4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 w:rsidP="00BD4529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12045,2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11756,8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C47" w:rsidRDefault="00573C47">
            <w:pPr>
              <w:tabs>
                <w:tab w:val="left" w:pos="129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60F7B" w:rsidRDefault="00B60F7B" w:rsidP="00B60F7B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tabs>
          <w:tab w:val="left" w:pos="12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.Муниципальные программы.</w:t>
      </w:r>
      <w:proofErr w:type="gramEnd"/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 и 179.3 БК РФ разработка, утверждение целевых программ осуществляется Администрацией муниципального образования Куркинский район.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Главой администрацией муниципального образования Куркинский район были приняты Постановления:</w:t>
      </w:r>
    </w:p>
    <w:p w:rsidR="00F40919" w:rsidRDefault="00B60F7B" w:rsidP="00F40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07.11.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 «Об утверждении перечня муниципальных программ муниципального образования Куркинский район»;</w:t>
      </w:r>
    </w:p>
    <w:p w:rsidR="00AA1327" w:rsidRDefault="00B60F7B" w:rsidP="00F40919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от 12.11.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г «Об утверждении Порядка принятия решений о разработке, формировании, реализации и 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оценке эффективности реализации муниципальных программ муниципального образования Куркинский район»</w:t>
      </w:r>
    </w:p>
    <w:p w:rsidR="00F40919" w:rsidRDefault="00B60F7B" w:rsidP="00B60F7B">
      <w:pPr>
        <w:tabs>
          <w:tab w:val="left" w:pos="3330"/>
        </w:tabs>
        <w:suppressAutoHyphens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 </w:t>
      </w:r>
    </w:p>
    <w:p w:rsidR="00B60F7B" w:rsidRDefault="00B60F7B" w:rsidP="00B60F7B">
      <w:pPr>
        <w:tabs>
          <w:tab w:val="left" w:pos="3330"/>
        </w:tabs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1A071F">
        <w:rPr>
          <w:rFonts w:ascii="Times New Roman" w:eastAsia="Calibri" w:hAnsi="Times New Roman" w:cs="Times New Roman"/>
          <w:bCs/>
          <w:sz w:val="28"/>
          <w:szCs w:val="28"/>
        </w:rPr>
        <w:t>2015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году в МО Куркинский район реализовано 18 муниципальных программ.</w:t>
      </w:r>
    </w:p>
    <w:tbl>
      <w:tblPr>
        <w:tblpPr w:leftFromText="180" w:rightFromText="180" w:bottomFromText="200" w:vertAnchor="text" w:horzAnchor="margin" w:tblpXSpec="center" w:tblpY="111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453"/>
        <w:gridCol w:w="1382"/>
        <w:gridCol w:w="1030"/>
        <w:gridCol w:w="1277"/>
        <w:gridCol w:w="1101"/>
      </w:tblGrid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Название программы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Уточненный план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 изменения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60F7B">
            <w:pPr>
              <w:spacing w:line="240" w:lineRule="auto"/>
              <w:ind w:firstLine="17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испол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B60F7B" w:rsidTr="00AA1327">
        <w:trPr>
          <w:trHeight w:val="7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</w:t>
            </w:r>
            <w:r w:rsidR="00573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"Развитие образования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147819,0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161502,2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109,3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161042,6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99,7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культуры и туризма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16834,2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20905,8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124,2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20766,0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99,3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физической культуры,</w:t>
            </w:r>
            <w:r w:rsidR="00573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спорта и 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5714,7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9,6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5161,8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90,3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</w:t>
            </w:r>
            <w:r w:rsidR="00573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"Социальная поддержка и социальное обслуживание населения муниципального образования Куркинский район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4805,6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3389,7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3389,4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"Улучшение демографической ситуации и поддержка семей, воспитывающих детей, в муниципальном образовании Куркинский район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1254,1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10,9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1254,1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сельского хозяйства муниципального образования Куркинский район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1271,3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3625,5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3625,5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"Обеспечение качественным жильем и услугами жилищно-коммунального хозяйства населения муниципального образования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386,2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385,5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99,8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 w:rsidP="00AA13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«</w:t>
            </w:r>
            <w:proofErr w:type="spellStart"/>
            <w:r w:rsidR="00B60F7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Энергоэффективность</w:t>
            </w:r>
            <w:proofErr w:type="spellEnd"/>
            <w:r w:rsidR="00B60F7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муниципального образования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 w:rsidP="00AA13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  <w:r w:rsidR="008523CD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"Модернизация и развитие автомобильных дорог общего пользования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3553,2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4475,6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3670,5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82,1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509,4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25,5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509,4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муниципальными финансами муниципального образования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12612,7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12581,0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12497,1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99,4</w:t>
            </w:r>
          </w:p>
        </w:tc>
      </w:tr>
      <w:tr w:rsidR="00B60F7B" w:rsidTr="00AA1327">
        <w:trPr>
          <w:trHeight w:val="22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"Повышение общественной безопасности населения и развития местного самоуправления муниципального образования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162,5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159,5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98,2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МП "Защита населения и территории муниципального образования Куркинский район от чрезвычайных ситуаций, обеспечение пожарной безопасности и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безопасности людей на водных объектах"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1543,8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1757,8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1738,7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98,9</w:t>
            </w:r>
          </w:p>
        </w:tc>
      </w:tr>
      <w:tr w:rsidR="00B60F7B" w:rsidTr="00AA1327">
        <w:trPr>
          <w:trHeight w:val="1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"Управление муниципальным имуществом и земельными ресурсами муниципального образования Куркинский район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6098,5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10,9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5515,3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90,5</w:t>
            </w:r>
          </w:p>
        </w:tc>
      </w:tr>
      <w:tr w:rsidR="00B60F7B" w:rsidTr="00AA1327">
        <w:trPr>
          <w:trHeight w:val="1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"Информационная политика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773,2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96,7</w:t>
            </w:r>
          </w:p>
        </w:tc>
      </w:tr>
      <w:tr w:rsidR="00B60F7B" w:rsidTr="00AA1327">
        <w:trPr>
          <w:trHeight w:val="1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"Развитие контрактной системы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left="-108" w:firstLine="9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3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 Развитие архивного дела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100,0</w:t>
            </w:r>
          </w:p>
        </w:tc>
      </w:tr>
      <w:tr w:rsidR="00B60F7B" w:rsidTr="00AA1327">
        <w:trPr>
          <w:trHeight w:val="1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F7B" w:rsidRDefault="00B60F7B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0F7B" w:rsidRDefault="00B60F7B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B60F7B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МП "Охрана окружающей среды в муниципальном образовании Куркинский район"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F7B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F7B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8523CD" w:rsidTr="00AA1327">
        <w:trPr>
          <w:trHeight w:val="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CD" w:rsidRDefault="008523CD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CD" w:rsidRDefault="008523CD">
            <w:pPr>
              <w:spacing w:line="240" w:lineRule="auto"/>
              <w:ind w:firstLine="49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CD" w:rsidRDefault="008523CD">
            <w:pPr>
              <w:spacing w:line="240" w:lineRule="auto"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191414,3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CD" w:rsidRDefault="00AA1327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221778,0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CD" w:rsidRDefault="006E7EDE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CD" w:rsidRDefault="00BB34BC" w:rsidP="00BB34B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220613,6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23CD" w:rsidRDefault="00BB34BC">
            <w:pPr>
              <w:spacing w:line="240" w:lineRule="auto"/>
              <w:ind w:firstLine="17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99,5</w:t>
            </w:r>
          </w:p>
        </w:tc>
      </w:tr>
    </w:tbl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период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действовали утвержденные Постановлениям Главы администрации муниципального образования Куркинский район 19 программ, в том числе 18 в целом по району, 1- по рабочему поселку Куркино.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Решением Собрания представителей муниципального образования Куркинский район от 2</w:t>
      </w:r>
      <w:r w:rsidR="008523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0F7F1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23CD">
        <w:rPr>
          <w:rFonts w:ascii="Times New Roman" w:hAnsi="Times New Roman" w:cs="Times New Roman"/>
          <w:sz w:val="28"/>
          <w:szCs w:val="28"/>
        </w:rPr>
        <w:t>11-3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Куркинский район на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A071F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8523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утвержден перечень целевых программ, принятых к финансированию в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году–18  программы в объеме </w:t>
      </w:r>
      <w:r w:rsidR="008523CD">
        <w:rPr>
          <w:rFonts w:ascii="Times New Roman" w:hAnsi="Times New Roman" w:cs="Times New Roman"/>
          <w:sz w:val="28"/>
          <w:szCs w:val="28"/>
        </w:rPr>
        <w:t>191414,3</w:t>
      </w:r>
      <w:r>
        <w:rPr>
          <w:rFonts w:ascii="Times New Roman" w:hAnsi="Times New Roman" w:cs="Times New Roman"/>
          <w:sz w:val="28"/>
          <w:szCs w:val="28"/>
        </w:rPr>
        <w:t xml:space="preserve"> тыс. руб. С учетом изменений к финансированию принято 18 программ с объемом ассигнований в сумме </w:t>
      </w:r>
      <w:r w:rsidR="00BB34BC">
        <w:rPr>
          <w:rFonts w:ascii="Times New Roman" w:hAnsi="Times New Roman" w:cs="Times New Roman"/>
          <w:sz w:val="28"/>
          <w:szCs w:val="28"/>
        </w:rPr>
        <w:t>221778,0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Выделенные средства освоены на </w:t>
      </w:r>
      <w:r w:rsidR="00BB34BC">
        <w:rPr>
          <w:rFonts w:ascii="Times New Roman" w:hAnsi="Times New Roman" w:cs="Times New Roman"/>
          <w:sz w:val="28"/>
          <w:szCs w:val="28"/>
        </w:rPr>
        <w:lastRenderedPageBreak/>
        <w:t>99,5</w:t>
      </w:r>
      <w:r>
        <w:rPr>
          <w:rFonts w:ascii="Times New Roman" w:hAnsi="Times New Roman" w:cs="Times New Roman"/>
          <w:sz w:val="28"/>
          <w:szCs w:val="28"/>
        </w:rPr>
        <w:t xml:space="preserve"> %  уточненного плана, фактически освоены ассигнования в сумме </w:t>
      </w:r>
      <w:r w:rsidR="00BB34BC">
        <w:rPr>
          <w:rFonts w:ascii="Times New Roman" w:hAnsi="Times New Roman" w:cs="Times New Roman"/>
          <w:sz w:val="28"/>
          <w:szCs w:val="28"/>
        </w:rPr>
        <w:t>220613,6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60F7B" w:rsidRDefault="00B60F7B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B34B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90,0% </w:t>
      </w:r>
      <w:r w:rsidR="00BB34BC">
        <w:rPr>
          <w:rFonts w:ascii="Times New Roman" w:hAnsi="Times New Roman" w:cs="Times New Roman"/>
          <w:sz w:val="28"/>
          <w:szCs w:val="28"/>
        </w:rPr>
        <w:t xml:space="preserve"> и выше  </w:t>
      </w:r>
      <w:r>
        <w:rPr>
          <w:rFonts w:ascii="Times New Roman" w:hAnsi="Times New Roman" w:cs="Times New Roman"/>
          <w:sz w:val="28"/>
          <w:szCs w:val="28"/>
        </w:rPr>
        <w:t xml:space="preserve">объема денежных средств, предусмотренных по программам, произведено по </w:t>
      </w:r>
      <w:r w:rsidR="00BB34B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из 18 принятых к финансированию муниципальным программам. </w:t>
      </w:r>
    </w:p>
    <w:p w:rsidR="003444CD" w:rsidRDefault="003444CD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86,0% всех расходов бюджета муниципального образования Куркинский район произведено в соответствии с запланированными мероприятиями утвержденных программ.</w:t>
      </w:r>
    </w:p>
    <w:p w:rsidR="008C2E3D" w:rsidRDefault="00567669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Положения о м</w:t>
      </w:r>
      <w:r w:rsidR="000A4FB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A4FBD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A4FBD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4F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="000A4FBD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BD">
        <w:rPr>
          <w:rFonts w:ascii="Times New Roman" w:hAnsi="Times New Roman" w:cs="Times New Roman"/>
          <w:sz w:val="28"/>
          <w:szCs w:val="28"/>
        </w:rPr>
        <w:t>15.07.2013 года №34-6 «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муниципального образования Куркинский район», объем бюджетных ассигнований дорожного фонда утверждается решением Собрания представителей о бюджете муниципального образования Куркинский район. </w:t>
      </w:r>
    </w:p>
    <w:p w:rsidR="000A4FBD" w:rsidRDefault="00567669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 бюджете на 2015 год утвержден объем муниципального дорожного фонда в сумме</w:t>
      </w:r>
      <w:r w:rsidR="008C2E3D">
        <w:rPr>
          <w:rFonts w:ascii="Times New Roman" w:hAnsi="Times New Roman" w:cs="Times New Roman"/>
          <w:sz w:val="28"/>
          <w:szCs w:val="28"/>
        </w:rPr>
        <w:t xml:space="preserve"> 3553,2 тыс. </w:t>
      </w:r>
      <w:r w:rsidR="007B0E18">
        <w:rPr>
          <w:rFonts w:ascii="Times New Roman" w:hAnsi="Times New Roman" w:cs="Times New Roman"/>
          <w:sz w:val="28"/>
          <w:szCs w:val="28"/>
        </w:rPr>
        <w:t>рублей.</w:t>
      </w:r>
      <w:r w:rsidR="008C2E3D">
        <w:rPr>
          <w:rFonts w:ascii="Times New Roman" w:hAnsi="Times New Roman" w:cs="Times New Roman"/>
          <w:sz w:val="28"/>
          <w:szCs w:val="28"/>
        </w:rPr>
        <w:t xml:space="preserve"> </w:t>
      </w:r>
      <w:r w:rsidR="007B0E18">
        <w:rPr>
          <w:rFonts w:ascii="Times New Roman" w:hAnsi="Times New Roman" w:cs="Times New Roman"/>
          <w:sz w:val="28"/>
          <w:szCs w:val="28"/>
        </w:rPr>
        <w:t>Р</w:t>
      </w:r>
      <w:r w:rsidR="008C2E3D">
        <w:rPr>
          <w:rFonts w:ascii="Times New Roman" w:hAnsi="Times New Roman" w:cs="Times New Roman"/>
          <w:sz w:val="28"/>
          <w:szCs w:val="28"/>
        </w:rPr>
        <w:t xml:space="preserve">ешением о внесении изменений в бюджет МО Куркинский район </w:t>
      </w:r>
      <w:r w:rsidR="007B0E18"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товарам, как </w:t>
      </w:r>
      <w:r w:rsidR="008C2E3D">
        <w:rPr>
          <w:rFonts w:ascii="Times New Roman" w:hAnsi="Times New Roman" w:cs="Times New Roman"/>
          <w:sz w:val="28"/>
          <w:szCs w:val="28"/>
        </w:rPr>
        <w:t>основная доходная часть</w:t>
      </w:r>
      <w:r w:rsidR="00F40919">
        <w:rPr>
          <w:rFonts w:ascii="Times New Roman" w:hAnsi="Times New Roman" w:cs="Times New Roman"/>
          <w:sz w:val="28"/>
          <w:szCs w:val="28"/>
        </w:rPr>
        <w:t xml:space="preserve"> (3515,3 тыс</w:t>
      </w:r>
      <w:proofErr w:type="gramStart"/>
      <w:r w:rsidR="00F409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0919">
        <w:rPr>
          <w:rFonts w:ascii="Times New Roman" w:hAnsi="Times New Roman" w:cs="Times New Roman"/>
          <w:sz w:val="28"/>
          <w:szCs w:val="28"/>
        </w:rPr>
        <w:t>уб.)</w:t>
      </w:r>
      <w:r w:rsidR="008C2E3D">
        <w:rPr>
          <w:rFonts w:ascii="Times New Roman" w:hAnsi="Times New Roman" w:cs="Times New Roman"/>
          <w:sz w:val="28"/>
          <w:szCs w:val="28"/>
        </w:rPr>
        <w:t>, входящая в состав муниципального дорожного фонда изменена</w:t>
      </w:r>
      <w:r w:rsidR="00F40919">
        <w:rPr>
          <w:rFonts w:ascii="Times New Roman" w:hAnsi="Times New Roman" w:cs="Times New Roman"/>
          <w:sz w:val="28"/>
          <w:szCs w:val="28"/>
        </w:rPr>
        <w:t xml:space="preserve"> </w:t>
      </w:r>
      <w:r w:rsidR="008C2E3D">
        <w:rPr>
          <w:rFonts w:ascii="Times New Roman" w:hAnsi="Times New Roman" w:cs="Times New Roman"/>
          <w:sz w:val="28"/>
          <w:szCs w:val="28"/>
        </w:rPr>
        <w:t xml:space="preserve">в сторону увеличения и составила </w:t>
      </w:r>
      <w:r w:rsidR="007B0E18">
        <w:rPr>
          <w:rFonts w:ascii="Times New Roman" w:hAnsi="Times New Roman" w:cs="Times New Roman"/>
          <w:sz w:val="28"/>
          <w:szCs w:val="28"/>
        </w:rPr>
        <w:t>4429,4 тыс. рублей.</w:t>
      </w:r>
      <w:r w:rsidR="000714C3">
        <w:rPr>
          <w:rFonts w:ascii="Times New Roman" w:hAnsi="Times New Roman" w:cs="Times New Roman"/>
          <w:sz w:val="28"/>
          <w:szCs w:val="28"/>
        </w:rPr>
        <w:t xml:space="preserve"> С учетом  платы за выбросы загрязненных веществ в атмосферный воздух передвижными объектами плановый размер муниципального дорожного фонда должен быть утвержден в сумме 4451,4 тыс. рублей.</w:t>
      </w:r>
      <w:r w:rsidR="00F40919">
        <w:rPr>
          <w:rFonts w:ascii="Times New Roman" w:hAnsi="Times New Roman" w:cs="Times New Roman"/>
          <w:sz w:val="28"/>
          <w:szCs w:val="28"/>
        </w:rPr>
        <w:t xml:space="preserve"> Изменения в статью 18 решения о бюджете на 2015 год не внесены.</w:t>
      </w:r>
    </w:p>
    <w:p w:rsidR="00157D6E" w:rsidRDefault="00157D6E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D6E" w:rsidRDefault="00157D6E" w:rsidP="00157D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остояние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просроченной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кредиторской  задолженности.</w:t>
      </w:r>
    </w:p>
    <w:p w:rsidR="00157D6E" w:rsidRDefault="00157D6E" w:rsidP="00157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состоянию на 01.01.2015 года размер просроченной кредиторской задолженности составлял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157D6E" w:rsidRDefault="00157D6E" w:rsidP="00157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31.12.2015 года размер просроченной кредиторской задолженности составил 0,0 тыс. руб. </w:t>
      </w:r>
    </w:p>
    <w:p w:rsidR="00DF4724" w:rsidRDefault="00DF4724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724" w:rsidRDefault="00DF4724" w:rsidP="00DF4724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Состояние муниципального долга.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 программы внутренних муниципальных заимствований.</w:t>
      </w:r>
    </w:p>
    <w:p w:rsidR="00DF4724" w:rsidRDefault="00DF4724" w:rsidP="00DF4724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724" w:rsidRDefault="00DF4724" w:rsidP="00DF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Муниципальный долг у муниципального образования   Куркинский район на начало 2015 года составлял 16000,0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F4724" w:rsidRDefault="00DF4724" w:rsidP="00DF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Погашено, в соответствии с утвержденными графиками 5200,0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F4724" w:rsidRDefault="00DF4724" w:rsidP="00DF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Привлечено для покрытия дефицита бюджета 6000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F4724" w:rsidRDefault="00DF4724" w:rsidP="00DF4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у муниципального образования   Куркинский район на конец 2015 года составил 16800,0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F4724" w:rsidRDefault="00DF4724" w:rsidP="00DF47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муниципальные гарантии муниципальным образованиям и юридическим лицам из бюджета муниципального образования Куркинский район не представлялись.</w:t>
      </w:r>
    </w:p>
    <w:p w:rsidR="00DF4724" w:rsidRDefault="00DF4724" w:rsidP="00DF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из бюджета муниципального образования Куркинский район бюджетные кредиты не представлялись.</w:t>
      </w:r>
    </w:p>
    <w:p w:rsidR="00DF4724" w:rsidRDefault="00DF4724" w:rsidP="00DF47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в погашение ранее выданного бюджетного кредита из бюджета р.п. Куркино, в соответствии  с утвержденным графиком реструктуризации долга 980 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F4724" w:rsidRDefault="00DF4724" w:rsidP="00B60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бюджетного законодательства в управлении муниципальным долгом не выявлено.</w:t>
      </w:r>
    </w:p>
    <w:p w:rsidR="00B60F7B" w:rsidRDefault="00B60F7B" w:rsidP="00B60F7B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F7B" w:rsidRDefault="00B60F7B" w:rsidP="00B60F7B">
      <w:pPr>
        <w:tabs>
          <w:tab w:val="left" w:pos="1152"/>
          <w:tab w:val="left" w:pos="1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Выводы и предложения.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60F7B" w:rsidRDefault="00B60F7B" w:rsidP="00B60F7B">
      <w:pPr>
        <w:pStyle w:val="a9"/>
        <w:numPr>
          <w:ilvl w:val="0"/>
          <w:numId w:val="6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представителей  муниципального образования Куркинский район «Об исполнении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Куркинский район».</w:t>
      </w:r>
    </w:p>
    <w:p w:rsidR="00D53296" w:rsidRPr="00D53296" w:rsidRDefault="00D53296" w:rsidP="00D53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D53296">
        <w:rPr>
          <w:rFonts w:ascii="Times New Roman" w:hAnsi="Times New Roman" w:cs="Times New Roman"/>
          <w:sz w:val="28"/>
          <w:szCs w:val="28"/>
        </w:rPr>
        <w:t>2. Бюджетная отчетность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3296">
        <w:rPr>
          <w:rFonts w:ascii="Times New Roman" w:hAnsi="Times New Roman" w:cs="Times New Roman"/>
          <w:sz w:val="28"/>
          <w:szCs w:val="28"/>
        </w:rPr>
        <w:t xml:space="preserve"> год соответствует нормам ст.264.1БК РФ. Бюджетная отчетность представлена по формам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53296">
        <w:rPr>
          <w:rFonts w:ascii="Times New Roman" w:hAnsi="Times New Roman" w:cs="Times New Roman"/>
          <w:sz w:val="28"/>
          <w:szCs w:val="28"/>
        </w:rPr>
        <w:t>нструкцией о порядке составления и представления годовой, квартальной</w:t>
      </w:r>
    </w:p>
    <w:p w:rsidR="00D53296" w:rsidRDefault="00D53296" w:rsidP="00D53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296">
        <w:rPr>
          <w:rFonts w:ascii="Times New Roman" w:hAnsi="Times New Roman" w:cs="Times New Roman"/>
          <w:sz w:val="28"/>
          <w:szCs w:val="28"/>
        </w:rPr>
        <w:t>и месячной отчетности об исполнении бюджетов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96">
        <w:rPr>
          <w:rFonts w:ascii="Times New Roman" w:hAnsi="Times New Roman" w:cs="Times New Roman"/>
          <w:sz w:val="28"/>
          <w:szCs w:val="28"/>
        </w:rPr>
        <w:t>Российской Федерации, утвержденной приказом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3296">
        <w:rPr>
          <w:rFonts w:ascii="Times New Roman" w:hAnsi="Times New Roman" w:cs="Times New Roman"/>
          <w:sz w:val="28"/>
          <w:szCs w:val="28"/>
        </w:rPr>
        <w:t>Российской Федерации от 28.12.2010 года №191н</w:t>
      </w:r>
    </w:p>
    <w:p w:rsidR="00D53296" w:rsidRPr="00D53296" w:rsidRDefault="00D53296" w:rsidP="00D532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Pr="00D53296" w:rsidRDefault="00D53296" w:rsidP="00D53296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32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B60F7B" w:rsidRPr="00D53296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бюджета усилить </w:t>
      </w:r>
      <w:proofErr w:type="gramStart"/>
      <w:r w:rsidR="00B60F7B" w:rsidRPr="00D53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F7B" w:rsidRPr="00D53296">
        <w:rPr>
          <w:rFonts w:ascii="Times New Roman" w:hAnsi="Times New Roman" w:cs="Times New Roman"/>
          <w:sz w:val="28"/>
          <w:szCs w:val="28"/>
        </w:rPr>
        <w:t xml:space="preserve"> составлением и исполнением плана муниципального заказа на поставки товаров, выполнение работ, оказание услуг для муниципальных нужд.</w:t>
      </w:r>
    </w:p>
    <w:p w:rsidR="00D53296" w:rsidRDefault="00D53296" w:rsidP="00D53296"/>
    <w:p w:rsidR="00B60F7B" w:rsidRDefault="000714C3" w:rsidP="00B60F7B">
      <w:pPr>
        <w:pStyle w:val="a9"/>
        <w:tabs>
          <w:tab w:val="left" w:pos="95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3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Администрации МО Куркинский район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установлением точных объемов муниципального дорожного фонда и его целевым расходом.</w:t>
      </w:r>
      <w:r w:rsidR="00B60F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0F7B" w:rsidRDefault="006E7EDE" w:rsidP="00B60F7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296">
        <w:rPr>
          <w:rFonts w:ascii="Times New Roman" w:hAnsi="Times New Roman" w:cs="Times New Roman"/>
          <w:sz w:val="28"/>
          <w:szCs w:val="28"/>
        </w:rPr>
        <w:t>5</w:t>
      </w:r>
      <w:r w:rsidR="00B60F7B">
        <w:rPr>
          <w:rFonts w:ascii="Times New Roman" w:hAnsi="Times New Roman" w:cs="Times New Roman"/>
          <w:sz w:val="28"/>
          <w:szCs w:val="28"/>
        </w:rPr>
        <w:t xml:space="preserve">. Контрольно-ревизионная комиссия муниципального образования Куркинский район считает возможным предложить Собранию представителей муниципального образования Куркинский район </w:t>
      </w:r>
      <w:r w:rsidR="00D5329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0F7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Куркинский район за </w:t>
      </w:r>
      <w:r w:rsidR="001A071F">
        <w:rPr>
          <w:rFonts w:ascii="Times New Roman" w:hAnsi="Times New Roman" w:cs="Times New Roman"/>
          <w:sz w:val="28"/>
          <w:szCs w:val="28"/>
        </w:rPr>
        <w:t>2015</w:t>
      </w:r>
      <w:r w:rsidR="00B60F7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60F7B" w:rsidRDefault="00B60F7B" w:rsidP="00B60F7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0F7B" w:rsidRDefault="00B60F7B" w:rsidP="00B60F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bookmarkStart w:id="0" w:name="_GoBack"/>
      <w:bookmarkEnd w:id="0"/>
    </w:p>
    <w:p w:rsidR="00B60F7B" w:rsidRDefault="00B60F7B" w:rsidP="00B60F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:rsidR="00B60F7B" w:rsidRDefault="00B60F7B" w:rsidP="00B60F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0F7B" w:rsidRDefault="00B60F7B" w:rsidP="00B60F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Куркинский район                                                               Е.В.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Степина</w:t>
      </w:r>
      <w:proofErr w:type="gramEnd"/>
    </w:p>
    <w:p w:rsidR="000477CA" w:rsidRDefault="000477CA"/>
    <w:sectPr w:rsidR="000477CA" w:rsidSect="0004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31312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F7B"/>
    <w:rsid w:val="00032625"/>
    <w:rsid w:val="000358C9"/>
    <w:rsid w:val="000477CA"/>
    <w:rsid w:val="000545BE"/>
    <w:rsid w:val="000714C3"/>
    <w:rsid w:val="000846EC"/>
    <w:rsid w:val="000A4FBD"/>
    <w:rsid w:val="000B2530"/>
    <w:rsid w:val="000F7F16"/>
    <w:rsid w:val="00157D6E"/>
    <w:rsid w:val="00163201"/>
    <w:rsid w:val="001A071F"/>
    <w:rsid w:val="001A4018"/>
    <w:rsid w:val="001F6499"/>
    <w:rsid w:val="002360D7"/>
    <w:rsid w:val="002402CC"/>
    <w:rsid w:val="002A1E68"/>
    <w:rsid w:val="002A2293"/>
    <w:rsid w:val="003444CD"/>
    <w:rsid w:val="0035651D"/>
    <w:rsid w:val="003A5932"/>
    <w:rsid w:val="003E1223"/>
    <w:rsid w:val="00403D5C"/>
    <w:rsid w:val="004168FD"/>
    <w:rsid w:val="0047733B"/>
    <w:rsid w:val="004A5C16"/>
    <w:rsid w:val="004D059B"/>
    <w:rsid w:val="004E1849"/>
    <w:rsid w:val="004F1ACD"/>
    <w:rsid w:val="00527EBE"/>
    <w:rsid w:val="00567669"/>
    <w:rsid w:val="00573C47"/>
    <w:rsid w:val="00574E8F"/>
    <w:rsid w:val="00595FA4"/>
    <w:rsid w:val="005D52AF"/>
    <w:rsid w:val="005D60C1"/>
    <w:rsid w:val="005E3702"/>
    <w:rsid w:val="0064018F"/>
    <w:rsid w:val="006C2227"/>
    <w:rsid w:val="006E7EDE"/>
    <w:rsid w:val="007916F8"/>
    <w:rsid w:val="00792937"/>
    <w:rsid w:val="007B0E18"/>
    <w:rsid w:val="007C5768"/>
    <w:rsid w:val="007D25A0"/>
    <w:rsid w:val="00821BBD"/>
    <w:rsid w:val="008427F0"/>
    <w:rsid w:val="008523CD"/>
    <w:rsid w:val="008A6321"/>
    <w:rsid w:val="008C2E3D"/>
    <w:rsid w:val="00932864"/>
    <w:rsid w:val="00955656"/>
    <w:rsid w:val="009D2DED"/>
    <w:rsid w:val="00A12F48"/>
    <w:rsid w:val="00A21D4F"/>
    <w:rsid w:val="00A628C0"/>
    <w:rsid w:val="00AA1327"/>
    <w:rsid w:val="00AE52CA"/>
    <w:rsid w:val="00B05E60"/>
    <w:rsid w:val="00B60F7B"/>
    <w:rsid w:val="00BB34BC"/>
    <w:rsid w:val="00BD4529"/>
    <w:rsid w:val="00BF256A"/>
    <w:rsid w:val="00BF5899"/>
    <w:rsid w:val="00C16173"/>
    <w:rsid w:val="00C918E4"/>
    <w:rsid w:val="00CA688B"/>
    <w:rsid w:val="00D53296"/>
    <w:rsid w:val="00D56D5E"/>
    <w:rsid w:val="00DB0E42"/>
    <w:rsid w:val="00DE780A"/>
    <w:rsid w:val="00DF4724"/>
    <w:rsid w:val="00E229F0"/>
    <w:rsid w:val="00E67138"/>
    <w:rsid w:val="00EB23D3"/>
    <w:rsid w:val="00EC61FA"/>
    <w:rsid w:val="00F40919"/>
    <w:rsid w:val="00F41E65"/>
    <w:rsid w:val="00F579B9"/>
    <w:rsid w:val="00F64414"/>
    <w:rsid w:val="00F77925"/>
    <w:rsid w:val="00FA1914"/>
    <w:rsid w:val="00FC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0F7B"/>
  </w:style>
  <w:style w:type="paragraph" w:styleId="a5">
    <w:name w:val="footer"/>
    <w:basedOn w:val="a"/>
    <w:link w:val="a6"/>
    <w:uiPriority w:val="99"/>
    <w:semiHidden/>
    <w:unhideWhenUsed/>
    <w:rsid w:val="00B6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F7B"/>
  </w:style>
  <w:style w:type="paragraph" w:styleId="a7">
    <w:name w:val="Balloon Text"/>
    <w:basedOn w:val="a"/>
    <w:link w:val="a8"/>
    <w:uiPriority w:val="99"/>
    <w:semiHidden/>
    <w:unhideWhenUsed/>
    <w:rsid w:val="00B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60F7B"/>
    <w:pPr>
      <w:ind w:left="720"/>
      <w:contextualSpacing/>
    </w:pPr>
  </w:style>
  <w:style w:type="table" w:styleId="aa">
    <w:name w:val="Table Grid"/>
    <w:basedOn w:val="a1"/>
    <w:uiPriority w:val="59"/>
    <w:rsid w:val="00B6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20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2016-03-11T09:16:00Z</dcterms:created>
  <dcterms:modified xsi:type="dcterms:W3CDTF">2016-06-06T08:56:00Z</dcterms:modified>
</cp:coreProperties>
</file>