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9E" w:rsidRDefault="00A3659E" w:rsidP="00A3659E">
      <w:pPr>
        <w:pStyle w:val="a3"/>
        <w:shd w:val="clear" w:color="auto" w:fill="FFFFFF"/>
        <w:spacing w:before="0" w:beforeAutospacing="0" w:after="167" w:afterAutospacing="0" w:line="402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В соответствии с Градостроительным кодексом Российской Федерации установление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индивидуальными предпринимателями, организациями обязанности осуществления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процедур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не предусмотренных исчерпывающими перечнями процедур в сферах строительства,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 не допускается.</w:t>
      </w:r>
    </w:p>
    <w:p w:rsidR="00A3659E" w:rsidRDefault="00A3659E" w:rsidP="00A3659E">
      <w:pPr>
        <w:pStyle w:val="a3"/>
        <w:shd w:val="clear" w:color="auto" w:fill="FFFFFF"/>
        <w:spacing w:before="0" w:beforeAutospacing="0" w:after="167" w:afterAutospacing="0" w:line="402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br/>
      </w:r>
      <w:hyperlink r:id="rId4" w:tgtFrame="_blank" w:history="1"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>Реестр описаний процедур, включенных в раздел I Исчерпывающего перечня (процедуры, предусмотренные нормативными правовыми актами Российской Федерации)</w:t>
        </w:r>
      </w:hyperlink>
    </w:p>
    <w:p w:rsidR="00A3659E" w:rsidRDefault="00A3659E" w:rsidP="00A3659E">
      <w:pPr>
        <w:pStyle w:val="a3"/>
        <w:shd w:val="clear" w:color="auto" w:fill="FFFFFF"/>
        <w:spacing w:before="0" w:beforeAutospacing="0" w:after="167" w:afterAutospacing="0" w:line="402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A3659E" w:rsidRDefault="00A3659E" w:rsidP="00A3659E">
      <w:pPr>
        <w:pStyle w:val="a3"/>
        <w:shd w:val="clear" w:color="auto" w:fill="FFFFFF"/>
        <w:spacing w:before="0" w:beforeAutospacing="0" w:after="167" w:afterAutospacing="0" w:line="402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Постановление Правительства Российской Федерации от 17 апреля 2017 г. N 452 </w:t>
      </w:r>
      <w:hyperlink r:id="rId5" w:history="1"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>Исчерпывающий перечень процедур в сфере строительства сетей теплоснабжения (включает 104 процедуры), утвержден Постановлением Правительства Российской Федерации от 17 апреля 2017 г. N 452</w:t>
        </w:r>
        <w:proofErr w:type="gramStart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 xml:space="preserve"> В</w:t>
        </w:r>
        <w:proofErr w:type="gramEnd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>ступает в силу 25 октября 2017 года</w:t>
        </w:r>
      </w:hyperlink>
    </w:p>
    <w:p w:rsidR="00A3659E" w:rsidRDefault="00A3659E" w:rsidP="00A3659E">
      <w:pPr>
        <w:pStyle w:val="a3"/>
        <w:shd w:val="clear" w:color="auto" w:fill="FFFFFF"/>
        <w:spacing w:before="0" w:beforeAutospacing="0" w:after="167" w:afterAutospacing="0" w:line="402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Постановление Правительства Российской Федерации от 27 декабря 2016 г. N 1504 </w:t>
      </w:r>
      <w:hyperlink r:id="rId6" w:history="1"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 xml:space="preserve">Исчерпывающий перечень процедур в сфере строительства объектов капитального строительства нежилого назначения (включает 130 процедур), утвержден Постановлением Правительства Российской Федерации от 28 марта 2017 г. N З46 </w:t>
        </w:r>
        <w:proofErr w:type="spellStart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>Вст</w:t>
        </w:r>
        <w:proofErr w:type="gramStart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>y</w:t>
        </w:r>
        <w:proofErr w:type="gramEnd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>пает</w:t>
        </w:r>
        <w:proofErr w:type="spellEnd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 xml:space="preserve"> в силу с 30 сентября 2017 года</w:t>
        </w:r>
      </w:hyperlink>
    </w:p>
    <w:p w:rsidR="00A3659E" w:rsidRDefault="00A3659E" w:rsidP="00A3659E">
      <w:pPr>
        <w:pStyle w:val="a3"/>
        <w:shd w:val="clear" w:color="auto" w:fill="FFFFFF"/>
        <w:spacing w:before="0" w:beforeAutospacing="0" w:after="167" w:afterAutospacing="0" w:line="402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Постановление Правительства Российской Федерации от 28 марта 2017 г. N З46 </w:t>
      </w:r>
      <w:hyperlink r:id="rId7" w:history="1"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 xml:space="preserve">Исчерпывающий перечень процедур в сфере строительства объектов </w:t>
        </w:r>
        <w:proofErr w:type="spellStart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>электросетевого</w:t>
        </w:r>
        <w:proofErr w:type="spellEnd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 xml:space="preserve"> хозяйства с уровнем напряжения ниже 35 кВ (включает 84 процедуры), утвержден Постановлением Правительства Российской Федерации от 27 декабря 2016 г. N 1504</w:t>
        </w:r>
        <w:proofErr w:type="gramStart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 xml:space="preserve"> В</w:t>
        </w:r>
        <w:proofErr w:type="gramEnd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>ступил в силу 29 июня 2017 года.</w:t>
        </w:r>
      </w:hyperlink>
    </w:p>
    <w:p w:rsidR="00A3659E" w:rsidRDefault="00A3659E" w:rsidP="00A3659E">
      <w:pPr>
        <w:pStyle w:val="a3"/>
        <w:shd w:val="clear" w:color="auto" w:fill="FFFFFF"/>
        <w:spacing w:before="0" w:beforeAutospacing="0" w:after="167" w:afterAutospacing="0" w:line="402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Постановление Правительства РФ от 07.11.2016 N 1138 </w:t>
      </w:r>
      <w:hyperlink r:id="rId8" w:history="1"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 xml:space="preserve">Исчерпывающий перечень процедур в сфере строительства линейных объектов водоснабжения и водоотведения (включает 111 процедур) и исчерпывающий перечень процедур в </w:t>
        </w:r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lastRenderedPageBreak/>
          <w:t>сфере строительства объектов водоснабжения и водоотведения, за исключением линейных объектов, (включает 75 процедур), утверждены Постановлением Правительства РФ от 07.11.2016 N 1138</w:t>
        </w:r>
        <w:proofErr w:type="gramStart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 xml:space="preserve"> В</w:t>
        </w:r>
        <w:proofErr w:type="gramEnd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 xml:space="preserve">ступили в силу 16 мая 2017 года, за исключением пунктов 49 и 51, </w:t>
        </w:r>
        <w:proofErr w:type="gramStart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>которые</w:t>
        </w:r>
        <w:proofErr w:type="gramEnd"/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 xml:space="preserve"> вступают в силу с 01.01.2019</w:t>
        </w:r>
      </w:hyperlink>
    </w:p>
    <w:p w:rsidR="00A3659E" w:rsidRDefault="00A3659E" w:rsidP="00A3659E">
      <w:pPr>
        <w:pStyle w:val="a3"/>
        <w:shd w:val="clear" w:color="auto" w:fill="FFFFFF"/>
        <w:spacing w:before="0" w:beforeAutospacing="0" w:after="167" w:afterAutospacing="0" w:line="402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Постановление Правительства РФ от 30.04.2014 N 403 </w:t>
      </w:r>
      <w:hyperlink r:id="rId9" w:history="1">
        <w:r>
          <w:rPr>
            <w:rStyle w:val="a4"/>
            <w:rFonts w:ascii="Helvetica" w:hAnsi="Helvetica" w:cs="Helvetica"/>
            <w:color w:val="428BCA"/>
            <w:sz w:val="23"/>
            <w:szCs w:val="23"/>
            <w:u w:val="none"/>
          </w:rPr>
          <w:t>Исчерпывающий перечень процедур в сфере жилищного строительства, утвержден Постановлением Правительства РФ от 30.04.2014 N 403</w:t>
        </w:r>
      </w:hyperlink>
    </w:p>
    <w:p w:rsidR="00A3659E" w:rsidRDefault="00A3659E" w:rsidP="00A3659E">
      <w:pPr>
        <w:pStyle w:val="a3"/>
        <w:shd w:val="clear" w:color="auto" w:fill="FFFFFF"/>
        <w:spacing w:before="0" w:beforeAutospacing="0" w:after="167" w:afterAutospacing="0" w:line="402" w:lineRule="atLeast"/>
        <w:jc w:val="both"/>
        <w:rPr>
          <w:rFonts w:ascii="Helvetica" w:hAnsi="Helvetica" w:cs="Helvetica"/>
          <w:color w:val="333333"/>
          <w:sz w:val="23"/>
          <w:szCs w:val="23"/>
        </w:rPr>
      </w:pPr>
      <w:hyperlink r:id="rId10" w:history="1">
        <w:r>
          <w:rPr>
            <w:rStyle w:val="a4"/>
            <w:rFonts w:ascii="Helvetica" w:hAnsi="Helvetica" w:cs="Helvetica"/>
            <w:color w:val="2A6496"/>
            <w:sz w:val="23"/>
            <w:szCs w:val="23"/>
          </w:rPr>
          <w:t>Федеральный закон от 20.04.2014 N 80-ФЗ О внесении изменений в статьи 2 и 6 Градостроительного кодекса Российской Федерации</w:t>
        </w:r>
      </w:hyperlink>
    </w:p>
    <w:p w:rsidR="00E20076" w:rsidRDefault="00E20076"/>
    <w:sectPr w:rsidR="00E20076" w:rsidSect="00E2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59E"/>
    <w:rsid w:val="00A3659E"/>
    <w:rsid w:val="00E2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upload/iblock/4c3/4c33fbdd1ad01a2be6fdda2d4ac6ae3e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movsk.tularegion.ru/upload/iblock/f71/f71d3ac394d9668007f2dee39d975a79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movsk.tularegion.ru/upload/iblock/902/9024353f490bde3185872444d966d1df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imovsk.tularegion.ru/upload/iblock/a90/a9001384dc1d5d9d38ea91aa5fa6d409.rtf" TargetMode="External"/><Relationship Id="rId10" Type="http://schemas.openxmlformats.org/officeDocument/2006/relationships/hyperlink" Target="https://kimovsk.tularegion.ru/upload/iblock/d21/d210c1213cda48c9f25f6219fd8ea630.rtf" TargetMode="External"/><Relationship Id="rId4" Type="http://schemas.openxmlformats.org/officeDocument/2006/relationships/hyperlink" Target="http://www.minstroyrf.ru/docs/2220/" TargetMode="External"/><Relationship Id="rId9" Type="http://schemas.openxmlformats.org/officeDocument/2006/relationships/hyperlink" Target="https://kimovsk.tularegion.ru/upload/iblock/65b/65bbd93fc23275f603915994cb04859e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2017-09-06T17:54:00Z</dcterms:created>
  <dcterms:modified xsi:type="dcterms:W3CDTF">2017-09-06T17:54:00Z</dcterms:modified>
</cp:coreProperties>
</file>